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1FB28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500" w:lineRule="atLeast"/>
        <w:ind w:left="0" w:right="0" w:firstLine="640"/>
        <w:jc w:val="center"/>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i w:val="0"/>
          <w:caps w:val="0"/>
          <w:color w:val="auto"/>
          <w:spacing w:val="0"/>
          <w:kern w:val="0"/>
          <w:sz w:val="36"/>
          <w:szCs w:val="36"/>
          <w:lang w:val="en-US" w:eastAsia="zh-CN" w:bidi="ar"/>
        </w:rPr>
        <w:t>需求内容——</w:t>
      </w:r>
      <w:r>
        <w:rPr>
          <w:rFonts w:hint="eastAsia" w:ascii="方正小标宋简体" w:hAnsi="方正小标宋简体" w:eastAsia="方正小标宋简体" w:cs="方正小标宋简体"/>
          <w:i w:val="0"/>
          <w:caps w:val="0"/>
          <w:color w:val="auto"/>
          <w:spacing w:val="0"/>
          <w:sz w:val="36"/>
          <w:szCs w:val="36"/>
          <w:shd w:val="clear" w:color="auto" w:fill="FFFFFF"/>
        </w:rPr>
        <w:t>医院公务使用网约车服务</w:t>
      </w:r>
    </w:p>
    <w:p w14:paraId="5703DE55">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120" w:afterAutospacing="0" w:line="500" w:lineRule="atLeast"/>
        <w:ind w:left="0" w:right="0" w:firstLine="640"/>
        <w:jc w:val="left"/>
        <w:rPr>
          <w:rFonts w:hint="eastAsia" w:ascii="黑体" w:hAnsi="宋体" w:eastAsia="黑体" w:cs="黑体"/>
          <w:i w:val="0"/>
          <w:caps w:val="0"/>
          <w:color w:val="000000"/>
          <w:spacing w:val="0"/>
          <w:kern w:val="0"/>
          <w:sz w:val="32"/>
          <w:szCs w:val="32"/>
          <w:lang w:val="en-US" w:eastAsia="zh-CN" w:bidi="ar"/>
        </w:rPr>
      </w:pPr>
      <w:r>
        <w:rPr>
          <w:rFonts w:hint="eastAsia" w:ascii="黑体" w:hAnsi="宋体" w:eastAsia="黑体" w:cs="黑体"/>
          <w:i w:val="0"/>
          <w:caps w:val="0"/>
          <w:color w:val="000000"/>
          <w:spacing w:val="0"/>
          <w:kern w:val="0"/>
          <w:sz w:val="32"/>
          <w:szCs w:val="32"/>
          <w:lang w:val="en-US" w:eastAsia="zh-CN" w:bidi="ar"/>
        </w:rPr>
        <w:t>项目要求</w:t>
      </w:r>
    </w:p>
    <w:p w14:paraId="3956B75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500" w:lineRule="atLeast"/>
        <w:ind w:left="0" w:right="0" w:firstLine="640"/>
        <w:jc w:val="left"/>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 w:eastAsia="zh-CN" w:bidi="ar"/>
        </w:rPr>
        <w:t>1.</w:t>
      </w:r>
      <w:r>
        <w:rPr>
          <w:rFonts w:hint="eastAsia" w:ascii="仿宋_GB2312" w:hAnsi="仿宋_GB2312" w:eastAsia="仿宋_GB2312" w:cs="仿宋_GB2312"/>
          <w:i w:val="0"/>
          <w:caps w:val="0"/>
          <w:color w:val="000000"/>
          <w:spacing w:val="0"/>
          <w:kern w:val="0"/>
          <w:sz w:val="24"/>
          <w:szCs w:val="24"/>
          <w:lang w:val="en-US" w:eastAsia="zh-CN" w:bidi="ar"/>
        </w:rPr>
        <w:t>平台要求</w:t>
      </w:r>
    </w:p>
    <w:p w14:paraId="2EFF70CB">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20" w:afterAutospacing="0" w:line="500" w:lineRule="atLeast"/>
        <w:ind w:right="0" w:rightChars="0"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i w:val="0"/>
          <w:caps w:val="0"/>
          <w:color w:val="000000"/>
          <w:spacing w:val="0"/>
          <w:kern w:val="0"/>
          <w:sz w:val="24"/>
          <w:szCs w:val="24"/>
          <w:lang w:val="en" w:eastAsia="zh-CN" w:bidi="ar"/>
        </w:rPr>
        <w:t>(1)</w:t>
      </w:r>
      <w:r>
        <w:rPr>
          <w:rFonts w:hint="eastAsia" w:ascii="仿宋_GB2312" w:hAnsi="仿宋_GB2312" w:eastAsia="仿宋_GB2312" w:cs="仿宋_GB2312"/>
          <w:i w:val="0"/>
          <w:caps w:val="0"/>
          <w:color w:val="000000"/>
          <w:spacing w:val="0"/>
          <w:kern w:val="0"/>
          <w:sz w:val="24"/>
          <w:szCs w:val="24"/>
          <w:lang w:val="en-US" w:eastAsia="zh-CN" w:bidi="ar"/>
        </w:rPr>
        <w:t>供应商具备完整网约车经营合规资质，平台车辆、驾驶员全部备案合规，无重大安全处罚记录。</w:t>
      </w:r>
    </w:p>
    <w:p w14:paraId="204C1ED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20" w:afterAutospacing="0" w:line="500" w:lineRule="atLeast"/>
        <w:ind w:leftChars="0" w:right="0" w:rightChars="0"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i w:val="0"/>
          <w:caps w:val="0"/>
          <w:color w:val="000000"/>
          <w:spacing w:val="0"/>
          <w:kern w:val="0"/>
          <w:sz w:val="24"/>
          <w:szCs w:val="24"/>
          <w:lang w:val="en" w:eastAsia="zh-CN" w:bidi="ar"/>
        </w:rPr>
        <w:t>(2)</w:t>
      </w:r>
      <w:r>
        <w:rPr>
          <w:rFonts w:hint="eastAsia" w:ascii="仿宋_GB2312" w:hAnsi="仿宋_GB2312" w:eastAsia="仿宋_GB2312" w:cs="仿宋_GB2312"/>
          <w:i w:val="0"/>
          <w:caps w:val="0"/>
          <w:color w:val="000000"/>
          <w:spacing w:val="0"/>
          <w:kern w:val="0"/>
          <w:sz w:val="24"/>
          <w:szCs w:val="24"/>
          <w:lang w:val="en-US" w:eastAsia="zh-CN" w:bidi="ar"/>
        </w:rPr>
        <w:t>配套医院专属管理后台，支持线上用车审批、行程实时定位、轨迹永久留存，可设置用车额度、管控用车时段，可导出台账。</w:t>
      </w:r>
    </w:p>
    <w:p w14:paraId="1CBB1F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500" w:lineRule="atLeast"/>
        <w:ind w:left="0" w:right="0" w:firstLine="640"/>
        <w:jc w:val="left"/>
        <w:rPr>
          <w:rFonts w:hint="eastAsia" w:ascii="仿宋_GB2312" w:hAnsi="仿宋_GB2312" w:eastAsia="仿宋_GB2312" w:cs="仿宋_GB2312"/>
          <w:sz w:val="24"/>
          <w:szCs w:val="24"/>
        </w:rPr>
      </w:pPr>
      <w:r>
        <w:rPr>
          <w:rFonts w:hint="eastAsia" w:ascii="仿宋_GB2312" w:hAnsi="仿宋_GB2312" w:eastAsia="仿宋_GB2312" w:cs="仿宋_GB2312"/>
          <w:i w:val="0"/>
          <w:caps w:val="0"/>
          <w:color w:val="000000"/>
          <w:spacing w:val="0"/>
          <w:kern w:val="0"/>
          <w:sz w:val="24"/>
          <w:szCs w:val="24"/>
          <w:lang w:val="en" w:eastAsia="zh-CN" w:bidi="ar"/>
        </w:rPr>
        <w:t>2</w:t>
      </w:r>
      <w:r>
        <w:rPr>
          <w:rFonts w:hint="eastAsia" w:ascii="仿宋_GB2312" w:hAnsi="仿宋_GB2312" w:eastAsia="仿宋_GB2312" w:cs="仿宋_GB2312"/>
          <w:i w:val="0"/>
          <w:caps w:val="0"/>
          <w:color w:val="000000"/>
          <w:spacing w:val="0"/>
          <w:kern w:val="0"/>
          <w:sz w:val="24"/>
          <w:szCs w:val="24"/>
          <w:lang w:val="en-US" w:eastAsia="zh-CN" w:bidi="ar"/>
        </w:rPr>
        <w:t>.车辆、驾驶员服务标准</w:t>
      </w:r>
    </w:p>
    <w:p w14:paraId="35158AEE">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20" w:afterAutospacing="0" w:line="500" w:lineRule="atLeast"/>
        <w:ind w:leftChars="0" w:right="0" w:rightChars="0"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i w:val="0"/>
          <w:caps w:val="0"/>
          <w:color w:val="000000"/>
          <w:spacing w:val="0"/>
          <w:kern w:val="0"/>
          <w:sz w:val="24"/>
          <w:szCs w:val="24"/>
          <w:lang w:val="en" w:eastAsia="zh-CN" w:bidi="ar"/>
        </w:rPr>
        <w:t>(1)</w:t>
      </w:r>
      <w:r>
        <w:rPr>
          <w:rFonts w:hint="eastAsia" w:ascii="仿宋_GB2312" w:hAnsi="仿宋_GB2312" w:eastAsia="仿宋_GB2312" w:cs="仿宋_GB2312"/>
          <w:i w:val="0"/>
          <w:caps w:val="0"/>
          <w:color w:val="000000"/>
          <w:spacing w:val="0"/>
          <w:kern w:val="0"/>
          <w:sz w:val="24"/>
          <w:szCs w:val="24"/>
          <w:lang w:val="en-US" w:eastAsia="zh-CN" w:bidi="ar"/>
        </w:rPr>
        <w:t>车型覆盖5座舒适轿车、7 座商务车，足额投保高额驾乘险、三者险，车内整洁。</w:t>
      </w:r>
    </w:p>
    <w:p w14:paraId="37B97030">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20" w:afterAutospacing="0" w:line="500" w:lineRule="atLeast"/>
        <w:ind w:leftChars="0" w:right="0" w:rightChars="0"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i w:val="0"/>
          <w:caps w:val="0"/>
          <w:color w:val="000000"/>
          <w:spacing w:val="0"/>
          <w:kern w:val="0"/>
          <w:sz w:val="24"/>
          <w:szCs w:val="24"/>
          <w:lang w:val="en" w:eastAsia="zh-CN" w:bidi="ar"/>
        </w:rPr>
        <w:t>(2)</w:t>
      </w:r>
      <w:r>
        <w:rPr>
          <w:rFonts w:hint="eastAsia" w:ascii="仿宋_GB2312" w:hAnsi="仿宋_GB2312" w:eastAsia="仿宋_GB2312" w:cs="仿宋_GB2312"/>
          <w:i w:val="0"/>
          <w:caps w:val="0"/>
          <w:color w:val="000000"/>
          <w:spacing w:val="0"/>
          <w:kern w:val="0"/>
          <w:sz w:val="24"/>
          <w:szCs w:val="24"/>
          <w:lang w:val="en-US" w:eastAsia="zh-CN" w:bidi="ar"/>
        </w:rPr>
        <w:t>驾驶员无违法及重大事故记录，熟悉本地路线，规范文明服务，严禁绕路、中途加价。</w:t>
      </w:r>
    </w:p>
    <w:p w14:paraId="13D088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500" w:lineRule="atLeast"/>
        <w:ind w:left="0" w:right="0" w:firstLine="640"/>
        <w:jc w:val="left"/>
        <w:rPr>
          <w:rFonts w:hint="eastAsia" w:ascii="仿宋_GB2312" w:hAnsi="仿宋_GB2312" w:eastAsia="仿宋_GB2312" w:cs="仿宋_GB2312"/>
          <w:sz w:val="24"/>
          <w:szCs w:val="24"/>
        </w:rPr>
      </w:pPr>
      <w:r>
        <w:rPr>
          <w:rFonts w:hint="eastAsia" w:ascii="仿宋_GB2312" w:hAnsi="仿宋_GB2312" w:eastAsia="仿宋_GB2312" w:cs="仿宋_GB2312"/>
          <w:i w:val="0"/>
          <w:caps w:val="0"/>
          <w:color w:val="000000"/>
          <w:spacing w:val="0"/>
          <w:kern w:val="0"/>
          <w:sz w:val="24"/>
          <w:szCs w:val="24"/>
          <w:lang w:val="en" w:eastAsia="zh-CN" w:bidi="ar"/>
        </w:rPr>
        <w:t>3</w:t>
      </w:r>
      <w:r>
        <w:rPr>
          <w:rFonts w:hint="eastAsia" w:ascii="仿宋_GB2312" w:hAnsi="仿宋_GB2312" w:eastAsia="仿宋_GB2312" w:cs="仿宋_GB2312"/>
          <w:i w:val="0"/>
          <w:caps w:val="0"/>
          <w:color w:val="000000"/>
          <w:spacing w:val="0"/>
          <w:kern w:val="0"/>
          <w:sz w:val="24"/>
          <w:szCs w:val="24"/>
          <w:lang w:val="en-US" w:eastAsia="zh-CN" w:bidi="ar"/>
        </w:rPr>
        <w:t>.出行与应急保障：车辆途中故障需及时调配替换车辆，不额外收取费用；配备专属对接客户经理，投诉24小时内办结。</w:t>
      </w:r>
    </w:p>
    <w:p w14:paraId="7E7AEA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500" w:lineRule="atLeast"/>
        <w:ind w:left="0" w:right="0" w:firstLine="640"/>
        <w:jc w:val="left"/>
        <w:rPr>
          <w:rFonts w:hint="eastAsia" w:ascii="仿宋_GB2312" w:hAnsi="仿宋_GB2312" w:eastAsia="仿宋_GB2312" w:cs="仿宋_GB2312"/>
          <w:sz w:val="24"/>
          <w:szCs w:val="24"/>
        </w:rPr>
      </w:pPr>
      <w:r>
        <w:rPr>
          <w:rFonts w:hint="eastAsia" w:ascii="仿宋_GB2312" w:hAnsi="仿宋_GB2312" w:eastAsia="仿宋_GB2312" w:cs="仿宋_GB2312"/>
          <w:i w:val="0"/>
          <w:caps w:val="0"/>
          <w:color w:val="000000"/>
          <w:spacing w:val="0"/>
          <w:kern w:val="0"/>
          <w:sz w:val="24"/>
          <w:szCs w:val="24"/>
          <w:lang w:val="en" w:eastAsia="zh-CN" w:bidi="ar"/>
        </w:rPr>
        <w:t>4</w:t>
      </w:r>
      <w:r>
        <w:rPr>
          <w:rFonts w:hint="eastAsia" w:ascii="仿宋_GB2312" w:hAnsi="仿宋_GB2312" w:eastAsia="仿宋_GB2312" w:cs="仿宋_GB2312"/>
          <w:i w:val="0"/>
          <w:caps w:val="0"/>
          <w:color w:val="000000"/>
          <w:spacing w:val="0"/>
          <w:kern w:val="0"/>
          <w:sz w:val="24"/>
          <w:szCs w:val="24"/>
          <w:lang w:val="en-US" w:eastAsia="zh-CN" w:bidi="ar"/>
        </w:rPr>
        <w:t>.管理考核与信息安全</w:t>
      </w:r>
    </w:p>
    <w:p w14:paraId="38D93F71">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20" w:afterAutospacing="0" w:line="500" w:lineRule="atLeast"/>
        <w:ind w:leftChars="0" w:right="0" w:rightChars="0"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i w:val="0"/>
          <w:caps w:val="0"/>
          <w:color w:val="000000"/>
          <w:spacing w:val="0"/>
          <w:kern w:val="0"/>
          <w:sz w:val="24"/>
          <w:szCs w:val="24"/>
          <w:lang w:val="en" w:eastAsia="zh-CN" w:bidi="ar"/>
        </w:rPr>
        <w:t>(1)</w:t>
      </w:r>
      <w:r>
        <w:rPr>
          <w:rFonts w:hint="eastAsia" w:ascii="仿宋_GB2312" w:hAnsi="仿宋_GB2312" w:eastAsia="仿宋_GB2312" w:cs="仿宋_GB2312"/>
          <w:i w:val="0"/>
          <w:caps w:val="0"/>
          <w:color w:val="000000"/>
          <w:spacing w:val="0"/>
          <w:kern w:val="0"/>
          <w:sz w:val="24"/>
          <w:szCs w:val="24"/>
          <w:lang w:val="en-US" w:eastAsia="zh-CN" w:bidi="ar"/>
        </w:rPr>
        <w:t>按月开展服务满意度考核，多次出现派车延误、服务违规、加价等问题，院方有权终止合作。</w:t>
      </w:r>
    </w:p>
    <w:p w14:paraId="307F924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20" w:afterAutospacing="0" w:line="500" w:lineRule="atLeast"/>
        <w:ind w:leftChars="0" w:right="0" w:rightChars="0"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i w:val="0"/>
          <w:caps w:val="0"/>
          <w:color w:val="000000"/>
          <w:spacing w:val="0"/>
          <w:kern w:val="0"/>
          <w:sz w:val="24"/>
          <w:szCs w:val="24"/>
          <w:lang w:val="en" w:eastAsia="zh-CN" w:bidi="ar"/>
        </w:rPr>
        <w:t>(2)</w:t>
      </w:r>
      <w:r>
        <w:rPr>
          <w:rFonts w:hint="eastAsia" w:ascii="仿宋_GB2312" w:hAnsi="仿宋_GB2312" w:eastAsia="仿宋_GB2312" w:cs="仿宋_GB2312"/>
          <w:i w:val="0"/>
          <w:caps w:val="0"/>
          <w:color w:val="000000"/>
          <w:spacing w:val="0"/>
          <w:kern w:val="0"/>
          <w:sz w:val="24"/>
          <w:szCs w:val="24"/>
          <w:lang w:val="en-US" w:eastAsia="zh-CN" w:bidi="ar"/>
        </w:rPr>
        <w:t>签订保密协议，严格保管职工、公务出行相关信息，严禁数据外泄。</w:t>
      </w:r>
    </w:p>
    <w:p w14:paraId="5A5A9CD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500" w:lineRule="atLeast"/>
        <w:ind w:left="0" w:right="0" w:firstLine="640"/>
        <w:jc w:val="left"/>
        <w:rPr>
          <w:rFonts w:hint="default" w:ascii="sans-serif" w:hAnsi="sans-serif" w:eastAsia="sans-serif" w:cs="sans-serif"/>
          <w:sz w:val="24"/>
          <w:szCs w:val="24"/>
        </w:rPr>
      </w:pPr>
      <w:r>
        <w:rPr>
          <w:rFonts w:hint="eastAsia" w:ascii="黑体" w:hAnsi="宋体" w:eastAsia="黑体" w:cs="黑体"/>
          <w:i w:val="0"/>
          <w:caps w:val="0"/>
          <w:color w:val="000000"/>
          <w:spacing w:val="0"/>
          <w:kern w:val="0"/>
          <w:sz w:val="32"/>
          <w:szCs w:val="32"/>
          <w:lang w:val="en-US" w:eastAsia="zh-CN" w:bidi="ar"/>
        </w:rPr>
        <w:t>二</w:t>
      </w:r>
      <w:r>
        <w:rPr>
          <w:rFonts w:hint="default" w:ascii="黑体" w:hAnsi="宋体" w:eastAsia="黑体" w:cs="黑体"/>
          <w:i w:val="0"/>
          <w:caps w:val="0"/>
          <w:color w:val="000000"/>
          <w:spacing w:val="0"/>
          <w:kern w:val="0"/>
          <w:sz w:val="32"/>
          <w:szCs w:val="32"/>
          <w:lang w:val="en-US" w:eastAsia="zh-CN" w:bidi="ar"/>
        </w:rPr>
        <w:t>、申请服务商资质及要求</w:t>
      </w:r>
    </w:p>
    <w:p w14:paraId="7D8B4F5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20" w:afterAutospacing="0" w:line="500" w:lineRule="atLeast"/>
        <w:ind w:leftChars="0" w:right="0" w:rightChars="0" w:firstLine="480" w:firstLineChars="200"/>
        <w:jc w:val="left"/>
        <w:rPr>
          <w:rFonts w:hint="default" w:ascii="仿宋_GB2312" w:hAnsi="仿宋_GB2312" w:eastAsia="仿宋_GB2312" w:cs="仿宋_GB2312"/>
          <w:i w:val="0"/>
          <w:caps w:val="0"/>
          <w:color w:val="000000"/>
          <w:spacing w:val="0"/>
          <w:kern w:val="0"/>
          <w:sz w:val="24"/>
          <w:szCs w:val="24"/>
          <w:lang w:val="en-US" w:eastAsia="zh-CN" w:bidi="ar"/>
        </w:rPr>
      </w:pPr>
      <w:r>
        <w:rPr>
          <w:rFonts w:hint="default" w:ascii="仿宋_GB2312" w:hAnsi="仿宋_GB2312" w:eastAsia="仿宋_GB2312" w:cs="仿宋_GB2312"/>
          <w:i w:val="0"/>
          <w:caps w:val="0"/>
          <w:color w:val="000000"/>
          <w:spacing w:val="0"/>
          <w:kern w:val="0"/>
          <w:sz w:val="24"/>
          <w:szCs w:val="24"/>
          <w:lang w:val="en-US" w:eastAsia="zh-CN" w:bidi="ar"/>
        </w:rPr>
        <w:t>1.供应商应是在工商局登记注册的法人商事主体，具备《中华人民共和国政府采购法》第二十二条第一款规定的基本资格条件：</w:t>
      </w:r>
    </w:p>
    <w:p w14:paraId="7F912C99">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20" w:afterAutospacing="0" w:line="500" w:lineRule="atLeast"/>
        <w:ind w:leftChars="0" w:right="0" w:rightChars="0" w:firstLine="480" w:firstLineChars="200"/>
        <w:jc w:val="left"/>
        <w:rPr>
          <w:rFonts w:hint="default" w:ascii="仿宋_GB2312" w:hAnsi="仿宋_GB2312" w:eastAsia="仿宋_GB2312" w:cs="仿宋_GB2312"/>
          <w:i w:val="0"/>
          <w:caps w:val="0"/>
          <w:color w:val="000000"/>
          <w:spacing w:val="0"/>
          <w:kern w:val="0"/>
          <w:sz w:val="24"/>
          <w:szCs w:val="24"/>
          <w:lang w:val="en-US" w:eastAsia="zh-CN" w:bidi="ar"/>
        </w:rPr>
      </w:pPr>
      <w:r>
        <w:rPr>
          <w:rFonts w:hint="default" w:ascii="仿宋_GB2312" w:hAnsi="仿宋_GB2312" w:eastAsia="仿宋_GB2312" w:cs="仿宋_GB2312"/>
          <w:i w:val="0"/>
          <w:caps w:val="0"/>
          <w:color w:val="000000"/>
          <w:spacing w:val="0"/>
          <w:kern w:val="0"/>
          <w:sz w:val="24"/>
          <w:szCs w:val="24"/>
          <w:lang w:val="en-US" w:eastAsia="zh-CN" w:bidi="ar"/>
        </w:rPr>
        <w:t>2.具有独立承担民事责任的能力；</w:t>
      </w:r>
    </w:p>
    <w:p w14:paraId="1301D6A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20" w:afterAutospacing="0" w:line="500" w:lineRule="atLeast"/>
        <w:ind w:leftChars="0" w:right="0" w:rightChars="0" w:firstLine="480" w:firstLineChars="200"/>
        <w:jc w:val="left"/>
        <w:rPr>
          <w:rFonts w:hint="default" w:ascii="仿宋_GB2312" w:hAnsi="仿宋_GB2312" w:eastAsia="仿宋_GB2312" w:cs="仿宋_GB2312"/>
          <w:i w:val="0"/>
          <w:caps w:val="0"/>
          <w:color w:val="000000"/>
          <w:spacing w:val="0"/>
          <w:kern w:val="0"/>
          <w:sz w:val="24"/>
          <w:szCs w:val="24"/>
          <w:lang w:val="en-US" w:eastAsia="zh-CN" w:bidi="ar"/>
        </w:rPr>
      </w:pPr>
      <w:r>
        <w:rPr>
          <w:rFonts w:hint="default" w:ascii="仿宋_GB2312" w:hAnsi="仿宋_GB2312" w:eastAsia="仿宋_GB2312" w:cs="仿宋_GB2312"/>
          <w:i w:val="0"/>
          <w:caps w:val="0"/>
          <w:color w:val="000000"/>
          <w:spacing w:val="0"/>
          <w:kern w:val="0"/>
          <w:sz w:val="24"/>
          <w:szCs w:val="24"/>
          <w:lang w:val="en-US" w:eastAsia="zh-CN" w:bidi="ar"/>
        </w:rPr>
        <w:t>3.具有良好的商业信誉和健全的财务</w:t>
      </w:r>
      <w:r>
        <w:rPr>
          <w:rFonts w:hint="default" w:ascii="仿宋_GB2312" w:hAnsi="仿宋_GB2312" w:eastAsia="仿宋_GB2312" w:cs="仿宋_GB2312"/>
          <w:i w:val="0"/>
          <w:caps w:val="0"/>
          <w:color w:val="000000"/>
          <w:spacing w:val="0"/>
          <w:kern w:val="0"/>
          <w:sz w:val="24"/>
          <w:szCs w:val="24"/>
          <w:lang w:val="en-US" w:eastAsia="zh-CN" w:bidi="ar"/>
        </w:rPr>
        <w:fldChar w:fldCharType="begin"/>
      </w:r>
      <w:r>
        <w:rPr>
          <w:rFonts w:hint="default" w:ascii="仿宋_GB2312" w:hAnsi="仿宋_GB2312" w:eastAsia="仿宋_GB2312" w:cs="仿宋_GB2312"/>
          <w:i w:val="0"/>
          <w:caps w:val="0"/>
          <w:color w:val="000000"/>
          <w:spacing w:val="0"/>
          <w:kern w:val="0"/>
          <w:sz w:val="24"/>
          <w:szCs w:val="24"/>
          <w:lang w:val="en-US" w:eastAsia="zh-CN" w:bidi="ar"/>
        </w:rPr>
        <w:instrText xml:space="preserve"> HYPERLINK "http://www.chinaacc.com/" </w:instrText>
      </w:r>
      <w:r>
        <w:rPr>
          <w:rFonts w:hint="default" w:ascii="仿宋_GB2312" w:hAnsi="仿宋_GB2312" w:eastAsia="仿宋_GB2312" w:cs="仿宋_GB2312"/>
          <w:i w:val="0"/>
          <w:caps w:val="0"/>
          <w:color w:val="000000"/>
          <w:spacing w:val="0"/>
          <w:kern w:val="0"/>
          <w:sz w:val="24"/>
          <w:szCs w:val="24"/>
          <w:lang w:val="en-US" w:eastAsia="zh-CN" w:bidi="ar"/>
        </w:rPr>
        <w:fldChar w:fldCharType="separate"/>
      </w:r>
      <w:r>
        <w:rPr>
          <w:rFonts w:hint="default" w:ascii="仿宋_GB2312" w:hAnsi="仿宋_GB2312" w:eastAsia="仿宋_GB2312" w:cs="仿宋_GB2312"/>
          <w:i w:val="0"/>
          <w:caps w:val="0"/>
          <w:color w:val="000000"/>
          <w:spacing w:val="0"/>
          <w:kern w:val="0"/>
          <w:sz w:val="24"/>
          <w:szCs w:val="24"/>
          <w:lang w:val="en-US" w:eastAsia="zh-CN" w:bidi="ar"/>
        </w:rPr>
        <w:t>会计</w:t>
      </w:r>
      <w:r>
        <w:rPr>
          <w:rFonts w:hint="default" w:ascii="仿宋_GB2312" w:hAnsi="仿宋_GB2312" w:eastAsia="仿宋_GB2312" w:cs="仿宋_GB2312"/>
          <w:i w:val="0"/>
          <w:caps w:val="0"/>
          <w:color w:val="000000"/>
          <w:spacing w:val="0"/>
          <w:kern w:val="0"/>
          <w:sz w:val="24"/>
          <w:szCs w:val="24"/>
          <w:lang w:val="en-US" w:eastAsia="zh-CN" w:bidi="ar"/>
        </w:rPr>
        <w:fldChar w:fldCharType="end"/>
      </w:r>
      <w:r>
        <w:rPr>
          <w:rFonts w:hint="default" w:ascii="仿宋_GB2312" w:hAnsi="仿宋_GB2312" w:eastAsia="仿宋_GB2312" w:cs="仿宋_GB2312"/>
          <w:i w:val="0"/>
          <w:caps w:val="0"/>
          <w:color w:val="000000"/>
          <w:spacing w:val="0"/>
          <w:kern w:val="0"/>
          <w:sz w:val="24"/>
          <w:szCs w:val="24"/>
          <w:lang w:val="en-US" w:eastAsia="zh-CN" w:bidi="ar"/>
        </w:rPr>
        <w:t>制度；提供资格承诺函或是相关信用记录证明；</w:t>
      </w:r>
    </w:p>
    <w:p w14:paraId="299C6CB1">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20" w:afterAutospacing="0" w:line="500" w:lineRule="atLeast"/>
        <w:ind w:leftChars="0" w:right="0" w:rightChars="0" w:firstLine="480" w:firstLineChars="200"/>
        <w:jc w:val="left"/>
        <w:rPr>
          <w:rFonts w:hint="default" w:ascii="仿宋_GB2312" w:hAnsi="仿宋_GB2312" w:eastAsia="仿宋_GB2312" w:cs="仿宋_GB2312"/>
          <w:i w:val="0"/>
          <w:caps w:val="0"/>
          <w:color w:val="000000"/>
          <w:spacing w:val="0"/>
          <w:kern w:val="0"/>
          <w:sz w:val="24"/>
          <w:szCs w:val="24"/>
          <w:lang w:val="en-US" w:eastAsia="zh-CN" w:bidi="ar"/>
        </w:rPr>
      </w:pPr>
      <w:r>
        <w:rPr>
          <w:rFonts w:hint="default" w:ascii="仿宋_GB2312" w:hAnsi="仿宋_GB2312" w:eastAsia="仿宋_GB2312" w:cs="仿宋_GB2312"/>
          <w:i w:val="0"/>
          <w:caps w:val="0"/>
          <w:color w:val="000000"/>
          <w:spacing w:val="0"/>
          <w:kern w:val="0"/>
          <w:sz w:val="24"/>
          <w:szCs w:val="24"/>
          <w:lang w:val="en-US" w:eastAsia="zh-CN" w:bidi="ar"/>
        </w:rPr>
        <w:t>4.具有依法缴纳税收和社会保障资金的良好记录；</w:t>
      </w:r>
    </w:p>
    <w:p w14:paraId="29B6E09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20" w:afterAutospacing="0" w:line="500" w:lineRule="atLeast"/>
        <w:ind w:leftChars="0" w:right="0" w:rightChars="0" w:firstLine="480" w:firstLineChars="200"/>
        <w:jc w:val="left"/>
        <w:rPr>
          <w:rFonts w:hint="default" w:ascii="仿宋_GB2312" w:hAnsi="仿宋_GB2312" w:eastAsia="仿宋_GB2312" w:cs="仿宋_GB2312"/>
          <w:i w:val="0"/>
          <w:caps w:val="0"/>
          <w:color w:val="000000"/>
          <w:spacing w:val="0"/>
          <w:kern w:val="0"/>
          <w:sz w:val="24"/>
          <w:szCs w:val="24"/>
          <w:lang w:val="en-US" w:eastAsia="zh-CN" w:bidi="ar"/>
        </w:rPr>
      </w:pPr>
      <w:r>
        <w:rPr>
          <w:rFonts w:hint="default" w:ascii="仿宋_GB2312" w:hAnsi="仿宋_GB2312" w:eastAsia="仿宋_GB2312" w:cs="仿宋_GB2312"/>
          <w:i w:val="0"/>
          <w:caps w:val="0"/>
          <w:color w:val="000000"/>
          <w:spacing w:val="0"/>
          <w:kern w:val="0"/>
          <w:sz w:val="24"/>
          <w:szCs w:val="24"/>
          <w:lang w:val="en-US" w:eastAsia="zh-CN" w:bidi="ar"/>
        </w:rPr>
        <w:t>5.近三年内（至申请截止时间），在参加政府采购和经营活动中没有重大违法记录；在“信用中国”网站（www.creditchina.gov.cn）中被列入失信被执行人、重大税收违法案件当事人名单的供应商，不得参加本次招标活动。</w:t>
      </w:r>
    </w:p>
    <w:p w14:paraId="618E8EF9">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20" w:afterAutospacing="0" w:line="500" w:lineRule="atLeast"/>
        <w:ind w:leftChars="0" w:right="0" w:rightChars="0" w:firstLine="480" w:firstLineChars="200"/>
        <w:jc w:val="left"/>
        <w:rPr>
          <w:rFonts w:hint="default" w:ascii="仿宋_GB2312" w:hAnsi="仿宋_GB2312" w:eastAsia="仿宋_GB2312" w:cs="仿宋_GB2312"/>
          <w:i w:val="0"/>
          <w:caps w:val="0"/>
          <w:color w:val="000000"/>
          <w:spacing w:val="0"/>
          <w:kern w:val="0"/>
          <w:sz w:val="24"/>
          <w:szCs w:val="24"/>
          <w:lang w:val="en-US" w:eastAsia="zh-CN" w:bidi="ar"/>
        </w:rPr>
      </w:pPr>
      <w:r>
        <w:rPr>
          <w:rFonts w:hint="default" w:ascii="仿宋_GB2312" w:hAnsi="仿宋_GB2312" w:eastAsia="仿宋_GB2312" w:cs="仿宋_GB2312"/>
          <w:i w:val="0"/>
          <w:caps w:val="0"/>
          <w:color w:val="000000"/>
          <w:spacing w:val="0"/>
          <w:kern w:val="0"/>
          <w:sz w:val="24"/>
          <w:szCs w:val="24"/>
          <w:lang w:val="en-US" w:eastAsia="zh-CN" w:bidi="ar"/>
        </w:rPr>
        <w:t>6.报名企业应具备相应的服务资质并提供相应的服务资质证明材料。</w:t>
      </w:r>
    </w:p>
    <w:p w14:paraId="2BDE14D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20" w:afterAutospacing="0" w:line="500" w:lineRule="atLeast"/>
        <w:ind w:leftChars="0" w:right="0" w:rightChars="0" w:firstLine="480" w:firstLineChars="200"/>
        <w:jc w:val="left"/>
        <w:rPr>
          <w:rFonts w:hint="default" w:ascii="仿宋_GB2312" w:hAnsi="仿宋_GB2312" w:eastAsia="仿宋_GB2312" w:cs="仿宋_GB2312"/>
          <w:i w:val="0"/>
          <w:caps w:val="0"/>
          <w:color w:val="000000"/>
          <w:spacing w:val="0"/>
          <w:kern w:val="0"/>
          <w:sz w:val="24"/>
          <w:szCs w:val="24"/>
          <w:lang w:val="en-US" w:eastAsia="zh-CN" w:bidi="ar"/>
        </w:rPr>
      </w:pPr>
      <w:r>
        <w:rPr>
          <w:rFonts w:hint="default" w:ascii="仿宋_GB2312" w:hAnsi="仿宋_GB2312" w:eastAsia="仿宋_GB2312" w:cs="仿宋_GB2312"/>
          <w:i w:val="0"/>
          <w:caps w:val="0"/>
          <w:color w:val="000000"/>
          <w:spacing w:val="0"/>
          <w:kern w:val="0"/>
          <w:sz w:val="24"/>
          <w:szCs w:val="24"/>
          <w:lang w:val="en-US" w:eastAsia="zh-CN" w:bidi="ar"/>
        </w:rPr>
        <w:t>7.供应商自身情况简介（单位情况、福建省内业绩、业主评价材料等）。</w:t>
      </w:r>
    </w:p>
    <w:p w14:paraId="1445B4F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20" w:afterAutospacing="0" w:line="500" w:lineRule="atLeast"/>
        <w:ind w:leftChars="0" w:right="0" w:rightChars="0" w:firstLine="480" w:firstLineChars="200"/>
        <w:jc w:val="left"/>
        <w:rPr>
          <w:rFonts w:hint="default" w:ascii="仿宋_GB2312" w:hAnsi="仿宋_GB2312" w:eastAsia="仿宋_GB2312" w:cs="仿宋_GB2312"/>
          <w:i w:val="0"/>
          <w:caps w:val="0"/>
          <w:color w:val="000000"/>
          <w:spacing w:val="0"/>
          <w:kern w:val="0"/>
          <w:sz w:val="32"/>
          <w:szCs w:val="32"/>
          <w:lang w:val="en-US" w:eastAsia="zh-CN" w:bidi="ar"/>
        </w:rPr>
      </w:pPr>
      <w:r>
        <w:rPr>
          <w:rFonts w:hint="default" w:ascii="仿宋_GB2312" w:hAnsi="仿宋_GB2312" w:eastAsia="仿宋_GB2312" w:cs="仿宋_GB2312"/>
          <w:i w:val="0"/>
          <w:caps w:val="0"/>
          <w:color w:val="000000"/>
          <w:spacing w:val="0"/>
          <w:kern w:val="0"/>
          <w:sz w:val="24"/>
          <w:szCs w:val="24"/>
          <w:lang w:val="en-US" w:eastAsia="zh-CN" w:bidi="ar"/>
        </w:rPr>
        <w:t>8.能开具增值税正规发票。</w:t>
      </w:r>
    </w:p>
    <w:p w14:paraId="764CFE7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500" w:lineRule="atLeast"/>
        <w:ind w:left="0" w:right="0" w:firstLine="640"/>
        <w:jc w:val="left"/>
        <w:rPr>
          <w:rFonts w:hint="default" w:ascii="sans-serif" w:hAnsi="sans-serif" w:eastAsia="sans-serif" w:cs="sans-serif"/>
          <w:sz w:val="24"/>
          <w:szCs w:val="24"/>
        </w:rPr>
      </w:pPr>
      <w:r>
        <w:rPr>
          <w:rFonts w:hint="eastAsia" w:ascii="黑体" w:hAnsi="宋体" w:eastAsia="黑体" w:cs="黑体"/>
          <w:i w:val="0"/>
          <w:caps w:val="0"/>
          <w:color w:val="000000"/>
          <w:spacing w:val="0"/>
          <w:kern w:val="0"/>
          <w:sz w:val="32"/>
          <w:szCs w:val="32"/>
          <w:lang w:val="en-US" w:eastAsia="zh-CN" w:bidi="ar"/>
        </w:rPr>
        <w:t>三</w:t>
      </w:r>
      <w:r>
        <w:rPr>
          <w:rFonts w:hint="default" w:ascii="黑体" w:hAnsi="宋体" w:eastAsia="黑体" w:cs="黑体"/>
          <w:i w:val="0"/>
          <w:caps w:val="0"/>
          <w:color w:val="000000"/>
          <w:spacing w:val="0"/>
          <w:kern w:val="0"/>
          <w:sz w:val="32"/>
          <w:szCs w:val="32"/>
          <w:lang w:val="en-US" w:eastAsia="zh-CN" w:bidi="ar"/>
        </w:rPr>
        <w:t>、报价要求</w:t>
      </w:r>
    </w:p>
    <w:p w14:paraId="252FFC4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20" w:afterAutospacing="0" w:line="500" w:lineRule="atLeast"/>
        <w:ind w:leftChars="0" w:right="0" w:rightChars="0" w:firstLine="480" w:firstLineChars="200"/>
        <w:jc w:val="left"/>
        <w:rPr>
          <w:rFonts w:hint="default"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1</w:t>
      </w:r>
      <w:r>
        <w:rPr>
          <w:rFonts w:hint="default" w:ascii="仿宋_GB2312" w:hAnsi="仿宋_GB2312" w:eastAsia="仿宋_GB2312" w:cs="仿宋_GB2312"/>
          <w:i w:val="0"/>
          <w:caps w:val="0"/>
          <w:color w:val="000000"/>
          <w:spacing w:val="0"/>
          <w:kern w:val="0"/>
          <w:sz w:val="24"/>
          <w:szCs w:val="24"/>
          <w:lang w:val="en-US" w:eastAsia="zh-CN" w:bidi="ar"/>
        </w:rPr>
        <w:t>.应按照以下格式提供报价表</w:t>
      </w:r>
    </w:p>
    <w:tbl>
      <w:tblPr>
        <w:tblStyle w:val="4"/>
        <w:tblW w:w="5761" w:type="pct"/>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058"/>
        <w:gridCol w:w="3992"/>
        <w:gridCol w:w="2292"/>
        <w:gridCol w:w="2477"/>
      </w:tblGrid>
      <w:tr w14:paraId="69B3C60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40" w:hRule="atLeast"/>
          <w:jc w:val="center"/>
        </w:trPr>
        <w:tc>
          <w:tcPr>
            <w:tcW w:w="5000" w:type="pct"/>
            <w:gridSpan w:val="4"/>
            <w:tcBorders>
              <w:top w:val="single" w:color="auto" w:sz="12" w:space="0"/>
              <w:left w:val="single" w:color="auto" w:sz="12" w:space="0"/>
              <w:bottom w:val="single" w:color="auto" w:sz="8" w:space="0"/>
              <w:right w:val="single" w:color="auto" w:sz="12" w:space="0"/>
            </w:tcBorders>
            <w:noWrap w:val="0"/>
            <w:tcMar>
              <w:left w:w="108" w:type="dxa"/>
              <w:right w:w="108" w:type="dxa"/>
            </w:tcMar>
            <w:vAlign w:val="top"/>
          </w:tcPr>
          <w:p w14:paraId="3D28D8E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20" w:afterAutospacing="0" w:line="500" w:lineRule="atLeast"/>
              <w:ind w:leftChars="0" w:right="0" w:rightChars="0" w:firstLine="480" w:firstLineChars="200"/>
              <w:jc w:val="center"/>
              <w:rPr>
                <w:rFonts w:hint="default" w:ascii="仿宋_GB2312" w:hAnsi="仿宋_GB2312" w:eastAsia="仿宋_GB2312" w:cs="仿宋_GB2312"/>
                <w:i w:val="0"/>
                <w:caps w:val="0"/>
                <w:color w:val="000000"/>
                <w:spacing w:val="0"/>
                <w:kern w:val="0"/>
                <w:sz w:val="24"/>
                <w:szCs w:val="24"/>
                <w:lang w:val="en-US" w:eastAsia="zh-CN" w:bidi="ar"/>
              </w:rPr>
            </w:pPr>
            <w:r>
              <w:rPr>
                <w:rFonts w:hint="default" w:ascii="仿宋_GB2312" w:hAnsi="仿宋_GB2312" w:eastAsia="仿宋_GB2312" w:cs="仿宋_GB2312"/>
                <w:i w:val="0"/>
                <w:caps w:val="0"/>
                <w:color w:val="000000"/>
                <w:spacing w:val="0"/>
                <w:kern w:val="0"/>
                <w:sz w:val="24"/>
                <w:szCs w:val="24"/>
                <w:lang w:val="en-US" w:eastAsia="zh-CN" w:bidi="ar"/>
              </w:rPr>
              <w:t>报价表</w:t>
            </w:r>
          </w:p>
        </w:tc>
      </w:tr>
      <w:tr w14:paraId="186DC81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154" w:hRule="atLeast"/>
          <w:jc w:val="center"/>
        </w:trPr>
        <w:tc>
          <w:tcPr>
            <w:tcW w:w="539" w:type="pct"/>
            <w:tcBorders>
              <w:top w:val="single" w:color="auto" w:sz="12" w:space="0"/>
              <w:left w:val="single" w:color="auto" w:sz="12" w:space="0"/>
              <w:bottom w:val="single" w:color="auto" w:sz="8" w:space="0"/>
              <w:right w:val="single" w:color="auto" w:sz="8" w:space="0"/>
            </w:tcBorders>
            <w:noWrap w:val="0"/>
            <w:tcMar>
              <w:left w:w="108" w:type="dxa"/>
              <w:right w:w="108" w:type="dxa"/>
            </w:tcMar>
            <w:vAlign w:val="center"/>
          </w:tcPr>
          <w:p w14:paraId="64CAAA2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20" w:afterAutospacing="0" w:line="500" w:lineRule="atLeast"/>
              <w:ind w:right="0" w:rightChars="0"/>
              <w:jc w:val="left"/>
              <w:rPr>
                <w:rFonts w:hint="default" w:ascii="仿宋_GB2312" w:hAnsi="仿宋_GB2312" w:eastAsia="仿宋_GB2312" w:cs="仿宋_GB2312"/>
                <w:i w:val="0"/>
                <w:caps w:val="0"/>
                <w:color w:val="000000"/>
                <w:spacing w:val="0"/>
                <w:kern w:val="0"/>
                <w:sz w:val="24"/>
                <w:szCs w:val="24"/>
                <w:lang w:val="en-US" w:eastAsia="zh-CN" w:bidi="ar"/>
              </w:rPr>
            </w:pPr>
            <w:r>
              <w:rPr>
                <w:rFonts w:hint="default" w:ascii="仿宋_GB2312" w:hAnsi="仿宋_GB2312" w:eastAsia="仿宋_GB2312" w:cs="仿宋_GB2312"/>
                <w:i w:val="0"/>
                <w:caps w:val="0"/>
                <w:color w:val="000000"/>
                <w:spacing w:val="0"/>
                <w:kern w:val="0"/>
                <w:sz w:val="24"/>
                <w:szCs w:val="24"/>
                <w:lang w:val="en-US" w:eastAsia="zh-CN" w:bidi="ar"/>
              </w:rPr>
              <w:t>序号</w:t>
            </w:r>
          </w:p>
        </w:tc>
        <w:tc>
          <w:tcPr>
            <w:tcW w:w="2033" w:type="pct"/>
            <w:tcBorders>
              <w:top w:val="single" w:color="auto" w:sz="12" w:space="0"/>
              <w:left w:val="nil"/>
              <w:bottom w:val="single" w:color="auto" w:sz="8" w:space="0"/>
              <w:right w:val="single" w:color="auto" w:sz="12" w:space="0"/>
            </w:tcBorders>
            <w:noWrap w:val="0"/>
            <w:tcMar>
              <w:left w:w="108" w:type="dxa"/>
              <w:right w:w="108" w:type="dxa"/>
            </w:tcMar>
            <w:vAlign w:val="center"/>
          </w:tcPr>
          <w:p w14:paraId="236DD47B">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20" w:afterAutospacing="0" w:line="500" w:lineRule="atLeast"/>
              <w:ind w:leftChars="0" w:right="0" w:rightChars="0" w:firstLine="480" w:firstLineChars="200"/>
              <w:jc w:val="left"/>
              <w:rPr>
                <w:rFonts w:hint="default" w:ascii="仿宋_GB2312" w:hAnsi="仿宋_GB2312" w:eastAsia="仿宋_GB2312" w:cs="仿宋_GB2312"/>
                <w:i w:val="0"/>
                <w:caps w:val="0"/>
                <w:color w:val="000000"/>
                <w:spacing w:val="0"/>
                <w:kern w:val="0"/>
                <w:sz w:val="24"/>
                <w:szCs w:val="24"/>
                <w:lang w:val="en-US" w:eastAsia="zh-CN" w:bidi="ar"/>
              </w:rPr>
            </w:pPr>
            <w:r>
              <w:rPr>
                <w:rFonts w:hint="default" w:ascii="仿宋_GB2312" w:hAnsi="仿宋_GB2312" w:eastAsia="仿宋_GB2312" w:cs="仿宋_GB2312"/>
                <w:i w:val="0"/>
                <w:caps w:val="0"/>
                <w:color w:val="000000"/>
                <w:spacing w:val="0"/>
                <w:kern w:val="0"/>
                <w:sz w:val="24"/>
                <w:szCs w:val="24"/>
                <w:lang w:val="en-US" w:eastAsia="zh-CN" w:bidi="ar"/>
              </w:rPr>
              <w:t>项目名称</w:t>
            </w:r>
          </w:p>
        </w:tc>
        <w:tc>
          <w:tcPr>
            <w:tcW w:w="1167" w:type="pct"/>
            <w:tcBorders>
              <w:top w:val="single" w:color="auto" w:sz="12" w:space="0"/>
              <w:left w:val="single" w:color="auto" w:sz="8" w:space="0"/>
              <w:bottom w:val="single" w:color="auto" w:sz="8" w:space="0"/>
              <w:right w:val="single" w:color="auto" w:sz="12" w:space="0"/>
            </w:tcBorders>
            <w:noWrap w:val="0"/>
            <w:tcMar>
              <w:left w:w="108" w:type="dxa"/>
              <w:right w:w="108" w:type="dxa"/>
            </w:tcMar>
            <w:vAlign w:val="center"/>
          </w:tcPr>
          <w:p w14:paraId="71551CB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20" w:afterAutospacing="0" w:line="500" w:lineRule="atLeast"/>
              <w:ind w:right="0" w:rightChars="0"/>
              <w:jc w:val="left"/>
              <w:rPr>
                <w:rFonts w:hint="default" w:ascii="仿宋_GB2312" w:hAnsi="仿宋_GB2312" w:eastAsia="仿宋_GB2312" w:cs="仿宋_GB2312"/>
                <w:i w:val="0"/>
                <w:caps w:val="0"/>
                <w:color w:val="000000"/>
                <w:spacing w:val="0"/>
                <w:kern w:val="0"/>
                <w:sz w:val="24"/>
                <w:szCs w:val="24"/>
                <w:lang w:val="en-US" w:eastAsia="zh-CN" w:bidi="ar"/>
              </w:rPr>
            </w:pPr>
            <w:r>
              <w:rPr>
                <w:rFonts w:hint="default" w:ascii="仿宋_GB2312" w:hAnsi="仿宋_GB2312" w:eastAsia="仿宋_GB2312" w:cs="仿宋_GB2312"/>
                <w:i w:val="0"/>
                <w:caps w:val="0"/>
                <w:color w:val="000000"/>
                <w:spacing w:val="0"/>
                <w:kern w:val="0"/>
                <w:sz w:val="24"/>
                <w:szCs w:val="24"/>
                <w:lang w:val="en-US" w:eastAsia="zh-CN" w:bidi="ar"/>
              </w:rPr>
              <w:t>价格（元）(优惠方案)</w:t>
            </w:r>
          </w:p>
        </w:tc>
        <w:tc>
          <w:tcPr>
            <w:tcW w:w="1260" w:type="pct"/>
            <w:tcBorders>
              <w:top w:val="single" w:color="auto" w:sz="12" w:space="0"/>
              <w:left w:val="single" w:color="auto" w:sz="8" w:space="0"/>
              <w:bottom w:val="single" w:color="auto" w:sz="8" w:space="0"/>
              <w:right w:val="single" w:color="auto" w:sz="12" w:space="0"/>
            </w:tcBorders>
            <w:noWrap w:val="0"/>
            <w:tcMar>
              <w:left w:w="108" w:type="dxa"/>
              <w:right w:w="108" w:type="dxa"/>
            </w:tcMar>
            <w:vAlign w:val="center"/>
          </w:tcPr>
          <w:p w14:paraId="5BE2231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20" w:afterAutospacing="0" w:line="500" w:lineRule="atLeast"/>
              <w:ind w:leftChars="0" w:right="0" w:rightChars="0" w:firstLine="480" w:firstLineChars="200"/>
              <w:jc w:val="left"/>
              <w:rPr>
                <w:rFonts w:hint="default" w:ascii="仿宋_GB2312" w:hAnsi="仿宋_GB2312" w:eastAsia="仿宋_GB2312" w:cs="仿宋_GB2312"/>
                <w:i w:val="0"/>
                <w:caps w:val="0"/>
                <w:color w:val="000000"/>
                <w:spacing w:val="0"/>
                <w:kern w:val="0"/>
                <w:sz w:val="24"/>
                <w:szCs w:val="24"/>
                <w:lang w:val="en-US" w:eastAsia="zh-CN" w:bidi="ar"/>
              </w:rPr>
            </w:pPr>
            <w:r>
              <w:rPr>
                <w:rFonts w:hint="default" w:ascii="仿宋_GB2312" w:hAnsi="仿宋_GB2312" w:eastAsia="仿宋_GB2312" w:cs="仿宋_GB2312"/>
                <w:i w:val="0"/>
                <w:caps w:val="0"/>
                <w:color w:val="000000"/>
                <w:spacing w:val="0"/>
                <w:kern w:val="0"/>
                <w:sz w:val="24"/>
                <w:szCs w:val="24"/>
                <w:lang w:val="en-US" w:eastAsia="zh-CN" w:bidi="ar"/>
              </w:rPr>
              <w:t>备注</w:t>
            </w:r>
          </w:p>
        </w:tc>
      </w:tr>
      <w:tr w14:paraId="2F79D0F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40" w:hRule="atLeast"/>
          <w:jc w:val="center"/>
        </w:trPr>
        <w:tc>
          <w:tcPr>
            <w:tcW w:w="539" w:type="pct"/>
            <w:tcBorders>
              <w:top w:val="single" w:color="auto" w:sz="12" w:space="0"/>
              <w:left w:val="single" w:color="auto" w:sz="12" w:space="0"/>
              <w:bottom w:val="single" w:color="auto" w:sz="12" w:space="0"/>
              <w:right w:val="single" w:color="auto" w:sz="8" w:space="0"/>
            </w:tcBorders>
            <w:noWrap w:val="0"/>
            <w:tcMar>
              <w:left w:w="108" w:type="dxa"/>
              <w:right w:w="108" w:type="dxa"/>
            </w:tcMar>
            <w:vAlign w:val="center"/>
          </w:tcPr>
          <w:p w14:paraId="699EB89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20" w:afterAutospacing="0" w:line="500" w:lineRule="atLeast"/>
              <w:ind w:leftChars="0" w:right="0" w:rightChars="0" w:firstLine="480" w:firstLineChars="200"/>
              <w:jc w:val="left"/>
              <w:rPr>
                <w:rFonts w:hint="default" w:ascii="仿宋_GB2312" w:hAnsi="仿宋_GB2312" w:eastAsia="仿宋_GB2312" w:cs="仿宋_GB2312"/>
                <w:i w:val="0"/>
                <w:caps w:val="0"/>
                <w:color w:val="000000"/>
                <w:spacing w:val="0"/>
                <w:kern w:val="0"/>
                <w:sz w:val="24"/>
                <w:szCs w:val="24"/>
                <w:lang w:val="en-US" w:eastAsia="zh-CN" w:bidi="ar"/>
              </w:rPr>
            </w:pPr>
            <w:r>
              <w:rPr>
                <w:rFonts w:hint="default" w:ascii="仿宋_GB2312" w:hAnsi="仿宋_GB2312" w:eastAsia="仿宋_GB2312" w:cs="仿宋_GB2312"/>
                <w:i w:val="0"/>
                <w:caps w:val="0"/>
                <w:color w:val="000000"/>
                <w:spacing w:val="0"/>
                <w:kern w:val="0"/>
                <w:sz w:val="24"/>
                <w:szCs w:val="24"/>
                <w:lang w:val="en-US" w:eastAsia="zh-CN" w:bidi="ar"/>
              </w:rPr>
              <w:t>1</w:t>
            </w:r>
          </w:p>
        </w:tc>
        <w:tc>
          <w:tcPr>
            <w:tcW w:w="2033" w:type="pct"/>
            <w:tcBorders>
              <w:top w:val="single" w:color="auto" w:sz="12" w:space="0"/>
              <w:left w:val="nil"/>
              <w:bottom w:val="single" w:color="auto" w:sz="12" w:space="0"/>
              <w:right w:val="single" w:color="auto" w:sz="12" w:space="0"/>
            </w:tcBorders>
            <w:noWrap w:val="0"/>
            <w:tcMar>
              <w:left w:w="108" w:type="dxa"/>
              <w:right w:w="108" w:type="dxa"/>
            </w:tcMar>
            <w:vAlign w:val="center"/>
          </w:tcPr>
          <w:p w14:paraId="1D63BB5F">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20" w:afterAutospacing="0" w:line="500" w:lineRule="atLeast"/>
              <w:ind w:right="0" w:rightChars="0"/>
              <w:jc w:val="left"/>
              <w:rPr>
                <w:rFonts w:hint="default" w:ascii="仿宋_GB2312" w:hAnsi="仿宋_GB2312" w:eastAsia="仿宋_GB2312" w:cs="仿宋_GB2312"/>
                <w:i w:val="0"/>
                <w:caps w:val="0"/>
                <w:color w:val="000000"/>
                <w:spacing w:val="0"/>
                <w:kern w:val="0"/>
                <w:sz w:val="24"/>
                <w:szCs w:val="24"/>
                <w:lang w:val="en-US" w:eastAsia="zh-CN" w:bidi="ar"/>
              </w:rPr>
            </w:pPr>
            <w:r>
              <w:rPr>
                <w:rFonts w:hint="default" w:ascii="仿宋_GB2312" w:hAnsi="仿宋_GB2312" w:eastAsia="仿宋_GB2312" w:cs="仿宋_GB2312"/>
                <w:i w:val="0"/>
                <w:caps w:val="0"/>
                <w:color w:val="000000"/>
                <w:spacing w:val="0"/>
                <w:kern w:val="0"/>
                <w:sz w:val="24"/>
                <w:szCs w:val="24"/>
                <w:lang w:val="en-US" w:eastAsia="zh-CN" w:bidi="ar"/>
              </w:rPr>
              <w:t>公务用网约车服务项目</w:t>
            </w:r>
          </w:p>
        </w:tc>
        <w:tc>
          <w:tcPr>
            <w:tcW w:w="1167" w:type="pct"/>
            <w:tcBorders>
              <w:top w:val="single" w:color="auto" w:sz="12" w:space="0"/>
              <w:left w:val="single" w:color="auto" w:sz="8" w:space="0"/>
              <w:bottom w:val="single" w:color="auto" w:sz="12" w:space="0"/>
              <w:right w:val="single" w:color="auto" w:sz="12" w:space="0"/>
            </w:tcBorders>
            <w:noWrap w:val="0"/>
            <w:tcMar>
              <w:left w:w="108" w:type="dxa"/>
              <w:right w:w="108" w:type="dxa"/>
            </w:tcMar>
            <w:vAlign w:val="center"/>
          </w:tcPr>
          <w:p w14:paraId="65D51013">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20" w:afterAutospacing="0" w:line="500" w:lineRule="atLeast"/>
              <w:ind w:leftChars="0" w:right="0" w:rightChars="0" w:firstLine="480" w:firstLineChars="200"/>
              <w:jc w:val="left"/>
              <w:rPr>
                <w:rFonts w:hint="default" w:ascii="仿宋_GB2312" w:hAnsi="仿宋_GB2312" w:eastAsia="仿宋_GB2312" w:cs="仿宋_GB2312"/>
                <w:i w:val="0"/>
                <w:caps w:val="0"/>
                <w:color w:val="000000"/>
                <w:spacing w:val="0"/>
                <w:kern w:val="0"/>
                <w:sz w:val="24"/>
                <w:szCs w:val="24"/>
                <w:lang w:val="en-US" w:eastAsia="zh-CN" w:bidi="ar"/>
              </w:rPr>
            </w:pPr>
          </w:p>
        </w:tc>
        <w:tc>
          <w:tcPr>
            <w:tcW w:w="1260" w:type="pct"/>
            <w:tcBorders>
              <w:top w:val="single" w:color="auto" w:sz="12" w:space="0"/>
              <w:left w:val="single" w:color="auto" w:sz="8" w:space="0"/>
              <w:bottom w:val="single" w:color="auto" w:sz="12" w:space="0"/>
              <w:right w:val="single" w:color="auto" w:sz="12" w:space="0"/>
            </w:tcBorders>
            <w:noWrap w:val="0"/>
            <w:tcMar>
              <w:left w:w="108" w:type="dxa"/>
              <w:right w:w="108" w:type="dxa"/>
            </w:tcMar>
            <w:vAlign w:val="center"/>
          </w:tcPr>
          <w:p w14:paraId="4B19DA74">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20" w:afterAutospacing="0" w:line="500" w:lineRule="atLeast"/>
              <w:ind w:leftChars="0" w:right="0" w:rightChars="0" w:firstLine="480" w:firstLineChars="200"/>
              <w:jc w:val="left"/>
              <w:rPr>
                <w:rFonts w:hint="default" w:ascii="仿宋_GB2312" w:hAnsi="仿宋_GB2312" w:eastAsia="仿宋_GB2312" w:cs="仿宋_GB2312"/>
                <w:i w:val="0"/>
                <w:caps w:val="0"/>
                <w:color w:val="000000"/>
                <w:spacing w:val="0"/>
                <w:kern w:val="0"/>
                <w:sz w:val="24"/>
                <w:szCs w:val="24"/>
                <w:lang w:val="en-US" w:eastAsia="zh-CN" w:bidi="ar"/>
              </w:rPr>
            </w:pPr>
          </w:p>
        </w:tc>
      </w:tr>
    </w:tbl>
    <w:p w14:paraId="3AA5C86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20" w:afterAutospacing="0" w:line="500" w:lineRule="atLeast"/>
        <w:ind w:right="0" w:rightChars="0"/>
        <w:jc w:val="left"/>
        <w:rPr>
          <w:rFonts w:hint="default"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备注：</w:t>
      </w:r>
      <w:r>
        <w:rPr>
          <w:rFonts w:hint="default" w:ascii="仿宋_GB2312" w:hAnsi="仿宋_GB2312" w:eastAsia="仿宋_GB2312" w:cs="仿宋_GB2312"/>
          <w:i w:val="0"/>
          <w:caps w:val="0"/>
          <w:color w:val="000000"/>
          <w:spacing w:val="0"/>
          <w:kern w:val="0"/>
          <w:sz w:val="24"/>
          <w:szCs w:val="24"/>
          <w:lang w:val="en-US" w:eastAsia="zh-CN" w:bidi="ar"/>
        </w:rPr>
        <w:t>报价应是包括全部价格和工作内容的总价，以人民币“元”作为货币单位。</w:t>
      </w:r>
      <w:r>
        <w:rPr>
          <w:rFonts w:hint="eastAsia" w:ascii="仿宋_GB2312" w:hAnsi="仿宋_GB2312" w:eastAsia="仿宋_GB2312" w:cs="仿宋_GB2312"/>
          <w:i w:val="0"/>
          <w:caps w:val="0"/>
          <w:color w:val="000000"/>
          <w:spacing w:val="0"/>
          <w:kern w:val="0"/>
          <w:sz w:val="24"/>
          <w:szCs w:val="24"/>
          <w:lang w:val="en-US" w:eastAsia="zh-CN" w:bidi="ar"/>
        </w:rPr>
        <w:t>实际结算费用按实结算，以采购人实际使用为准，预算金额不作为必须花费金额。</w:t>
      </w:r>
    </w:p>
    <w:p w14:paraId="13B5B90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500" w:lineRule="atLeast"/>
        <w:ind w:left="0" w:right="0" w:firstLine="640"/>
        <w:jc w:val="left"/>
        <w:rPr>
          <w:rFonts w:hint="default" w:ascii="sans-serif" w:hAnsi="sans-serif" w:eastAsia="sans-serif" w:cs="sans-serif"/>
          <w:sz w:val="24"/>
          <w:szCs w:val="24"/>
          <w:lang w:val="en-US"/>
        </w:rPr>
      </w:pPr>
      <w:r>
        <w:rPr>
          <w:rFonts w:hint="eastAsia" w:ascii="黑体" w:hAnsi="宋体" w:eastAsia="黑体" w:cs="黑体"/>
          <w:i w:val="0"/>
          <w:caps w:val="0"/>
          <w:color w:val="000000"/>
          <w:spacing w:val="0"/>
          <w:kern w:val="0"/>
          <w:sz w:val="32"/>
          <w:szCs w:val="32"/>
          <w:lang w:val="en-US" w:eastAsia="zh-CN" w:bidi="ar"/>
        </w:rPr>
        <w:t>四</w:t>
      </w:r>
      <w:r>
        <w:rPr>
          <w:rFonts w:hint="default" w:ascii="黑体" w:hAnsi="宋体" w:eastAsia="黑体" w:cs="黑体"/>
          <w:i w:val="0"/>
          <w:caps w:val="0"/>
          <w:color w:val="000000"/>
          <w:spacing w:val="0"/>
          <w:kern w:val="0"/>
          <w:sz w:val="32"/>
          <w:szCs w:val="32"/>
          <w:lang w:val="en-US" w:eastAsia="zh-CN" w:bidi="ar"/>
        </w:rPr>
        <w:t>、</w:t>
      </w:r>
      <w:r>
        <w:rPr>
          <w:rFonts w:hint="eastAsia" w:ascii="黑体" w:hAnsi="宋体" w:eastAsia="黑体" w:cs="黑体"/>
          <w:i w:val="0"/>
          <w:caps w:val="0"/>
          <w:color w:val="000000"/>
          <w:spacing w:val="0"/>
          <w:kern w:val="0"/>
          <w:sz w:val="32"/>
          <w:szCs w:val="32"/>
          <w:lang w:val="en-US" w:eastAsia="zh-CN" w:bidi="ar"/>
        </w:rPr>
        <w:t>评分标准</w:t>
      </w:r>
    </w:p>
    <w:tbl>
      <w:tblPr>
        <w:tblStyle w:val="4"/>
        <w:tblW w:w="98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7044"/>
        <w:gridCol w:w="945"/>
        <w:gridCol w:w="1095"/>
      </w:tblGrid>
      <w:tr w14:paraId="06549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803" w:type="dxa"/>
            <w:shd w:val="clear" w:color="auto" w:fill="auto"/>
            <w:noWrap w:val="0"/>
            <w:vAlign w:val="center"/>
          </w:tcPr>
          <w:p w14:paraId="1A96EE23">
            <w:pPr>
              <w:pStyle w:val="7"/>
              <w:keepNext w:val="0"/>
              <w:keepLines w:val="0"/>
              <w:pageBreakBefore w:val="0"/>
              <w:shd w:val="clear" w:color="auto" w:fill="auto"/>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sz w:val="24"/>
                <w:szCs w:val="24"/>
                <w:highlight w:val="none"/>
              </w:rPr>
              <w:t>序号</w:t>
            </w:r>
          </w:p>
        </w:tc>
        <w:tc>
          <w:tcPr>
            <w:tcW w:w="7044" w:type="dxa"/>
            <w:shd w:val="clear" w:color="auto" w:fill="auto"/>
            <w:noWrap w:val="0"/>
            <w:vAlign w:val="center"/>
          </w:tcPr>
          <w:p w14:paraId="2ED3E586">
            <w:pPr>
              <w:pStyle w:val="7"/>
              <w:keepNext w:val="0"/>
              <w:keepLines w:val="0"/>
              <w:pageBreakBefore w:val="0"/>
              <w:shd w:val="clear" w:color="auto" w:fill="auto"/>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sz w:val="24"/>
                <w:szCs w:val="24"/>
                <w:highlight w:val="none"/>
              </w:rPr>
              <w:t>评分界定</w:t>
            </w:r>
          </w:p>
        </w:tc>
        <w:tc>
          <w:tcPr>
            <w:tcW w:w="945" w:type="dxa"/>
            <w:shd w:val="clear" w:color="auto" w:fill="auto"/>
            <w:noWrap w:val="0"/>
            <w:vAlign w:val="center"/>
          </w:tcPr>
          <w:p w14:paraId="4350157A">
            <w:pPr>
              <w:pStyle w:val="7"/>
              <w:keepNext w:val="0"/>
              <w:keepLines w:val="0"/>
              <w:pageBreakBefore w:val="0"/>
              <w:shd w:val="clear" w:color="auto" w:fill="auto"/>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rPr>
              <w:t>满分</w:t>
            </w:r>
          </w:p>
          <w:p w14:paraId="215307FE">
            <w:pPr>
              <w:pStyle w:val="7"/>
              <w:keepNext w:val="0"/>
              <w:keepLines w:val="0"/>
              <w:pageBreakBefore w:val="0"/>
              <w:shd w:val="clear" w:color="auto" w:fill="auto"/>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sz w:val="24"/>
                <w:szCs w:val="24"/>
                <w:highlight w:val="none"/>
              </w:rPr>
              <w:t>分值</w:t>
            </w:r>
          </w:p>
        </w:tc>
        <w:tc>
          <w:tcPr>
            <w:tcW w:w="1095" w:type="dxa"/>
            <w:shd w:val="clear" w:color="auto" w:fill="auto"/>
            <w:noWrap w:val="0"/>
            <w:vAlign w:val="center"/>
          </w:tcPr>
          <w:p w14:paraId="637A4636">
            <w:pPr>
              <w:pStyle w:val="7"/>
              <w:keepNext w:val="0"/>
              <w:keepLines w:val="0"/>
              <w:pageBreakBefore w:val="0"/>
              <w:shd w:val="clear" w:color="auto" w:fill="auto"/>
              <w:kinsoku/>
              <w:wordWrap/>
              <w:overflowPunct/>
              <w:topLinePunct w:val="0"/>
              <w:autoSpaceDE/>
              <w:autoSpaceDN/>
              <w:bidi w:val="0"/>
              <w:adjustRightInd/>
              <w:snapToGrid/>
              <w:spacing w:line="440" w:lineRule="exact"/>
              <w:jc w:val="center"/>
              <w:textAlignment w:val="auto"/>
              <w:rPr>
                <w:rFonts w:hint="default" w:ascii="仿宋" w:hAnsi="仿宋" w:eastAsia="仿宋" w:cs="仿宋"/>
                <w:b/>
                <w:bCs w:val="0"/>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t>招标人评分</w:t>
            </w:r>
          </w:p>
        </w:tc>
      </w:tr>
      <w:tr w14:paraId="3B105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03" w:type="dxa"/>
            <w:noWrap w:val="0"/>
            <w:vAlign w:val="center"/>
          </w:tcPr>
          <w:p w14:paraId="55BF4914">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440" w:lineRule="exact"/>
              <w:ind w:left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7044" w:type="dxa"/>
            <w:shd w:val="clear" w:color="auto" w:fill="auto"/>
            <w:noWrap w:val="0"/>
            <w:vAlign w:val="top"/>
          </w:tcPr>
          <w:p w14:paraId="43D63E54">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kern w:val="0"/>
                <w:sz w:val="24"/>
                <w:szCs w:val="22"/>
                <w:highlight w:val="none"/>
                <w:lang w:val="en-US" w:eastAsia="zh-CN" w:bidi="ar-SA"/>
              </w:rPr>
            </w:pPr>
            <w:r>
              <w:rPr>
                <w:rFonts w:hint="eastAsia" w:ascii="仿宋" w:hAnsi="仿宋" w:eastAsia="仿宋" w:cs="仿宋"/>
                <w:color w:val="000000"/>
                <w:kern w:val="0"/>
                <w:sz w:val="24"/>
                <w:szCs w:val="22"/>
                <w:highlight w:val="none"/>
                <w:lang w:val="en-US" w:eastAsia="zh-CN" w:bidi="ar-SA"/>
              </w:rPr>
              <w:t>前提：在相同标准下（出发时间相同、起点和终点相同、车辆类型相同等），投标人提供的网约车平台行程费不得超过市面上主流网约车平台（本项目指滴滴、曹操出行、T3出行三家网约车平台）的平均行程费的110%。</w:t>
            </w:r>
          </w:p>
          <w:p w14:paraId="11DFE300">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default" w:ascii="仿宋" w:hAnsi="仿宋" w:eastAsia="仿宋" w:cs="仿宋"/>
                <w:color w:val="000000"/>
                <w:kern w:val="0"/>
                <w:sz w:val="24"/>
                <w:szCs w:val="22"/>
                <w:highlight w:val="none"/>
                <w:lang w:val="en-US" w:eastAsia="zh-CN" w:bidi="ar-SA"/>
              </w:rPr>
            </w:pPr>
            <w:r>
              <w:rPr>
                <w:rFonts w:hint="eastAsia" w:ascii="仿宋" w:hAnsi="仿宋" w:eastAsia="仿宋" w:cs="仿宋"/>
                <w:color w:val="000000"/>
                <w:kern w:val="0"/>
                <w:sz w:val="24"/>
                <w:szCs w:val="22"/>
                <w:highlight w:val="none"/>
                <w:lang w:val="en-US" w:eastAsia="zh-CN" w:bidi="ar-SA"/>
              </w:rPr>
              <w:t>若投标人不满足以上前提，则该项目得0分。</w:t>
            </w:r>
          </w:p>
          <w:p w14:paraId="3F48B4E4">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default" w:ascii="仿宋" w:hAnsi="仿宋" w:eastAsia="仿宋" w:cs="仿宋"/>
                <w:color w:val="000000"/>
                <w:kern w:val="0"/>
                <w:sz w:val="24"/>
                <w:szCs w:val="22"/>
                <w:highlight w:val="none"/>
                <w:lang w:val="en-US" w:eastAsia="zh-CN" w:bidi="ar-SA"/>
              </w:rPr>
            </w:pPr>
            <w:r>
              <w:rPr>
                <w:rFonts w:hint="eastAsia" w:ascii="仿宋" w:hAnsi="仿宋" w:eastAsia="仿宋" w:cs="仿宋"/>
                <w:color w:val="000000"/>
                <w:kern w:val="0"/>
                <w:sz w:val="24"/>
                <w:szCs w:val="22"/>
                <w:highlight w:val="none"/>
                <w:lang w:val="en-US" w:eastAsia="zh-CN" w:bidi="ar-SA"/>
              </w:rPr>
              <w:t>投标人在满足以上前提的基础上，提供行程费折扣率，折扣率最低（即实际付费比例最低）得30</w:t>
            </w:r>
            <w:bookmarkStart w:id="0" w:name="_GoBack"/>
            <w:bookmarkEnd w:id="0"/>
            <w:r>
              <w:rPr>
                <w:rFonts w:hint="eastAsia" w:ascii="仿宋" w:hAnsi="仿宋" w:eastAsia="仿宋" w:cs="仿宋"/>
                <w:color w:val="000000"/>
                <w:kern w:val="0"/>
                <w:sz w:val="24"/>
                <w:szCs w:val="22"/>
                <w:highlight w:val="none"/>
                <w:lang w:val="en-US" w:eastAsia="zh-CN" w:bidi="ar-SA"/>
              </w:rPr>
              <w:t>分，每提升一个名次得分降低2分，以此类推。</w:t>
            </w:r>
          </w:p>
        </w:tc>
        <w:tc>
          <w:tcPr>
            <w:tcW w:w="945" w:type="dxa"/>
            <w:noWrap w:val="0"/>
            <w:vAlign w:val="center"/>
          </w:tcPr>
          <w:p w14:paraId="0E8DBAE9">
            <w:pPr>
              <w:keepNext w:val="0"/>
              <w:keepLines w:val="0"/>
              <w:pageBreakBefore w:val="0"/>
              <w:shd w:val="clear" w:color="auto" w:fill="auto"/>
              <w:kinsoku/>
              <w:wordWrap/>
              <w:overflowPunct/>
              <w:topLinePunct w:val="0"/>
              <w:autoSpaceDE/>
              <w:autoSpaceDN/>
              <w:bidi w:val="0"/>
              <w:adjustRightInd/>
              <w:snapToGrid/>
              <w:spacing w:line="440" w:lineRule="exact"/>
              <w:ind w:left="-99" w:leftChars="-47" w:right="-78" w:rightChars="-37"/>
              <w:jc w:val="center"/>
              <w:textAlignment w:val="auto"/>
              <w:rPr>
                <w:rFonts w:hint="default" w:ascii="仿宋" w:hAnsi="仿宋" w:eastAsia="仿宋" w:cs="仿宋"/>
                <w:color w:val="auto"/>
                <w:sz w:val="24"/>
                <w:szCs w:val="24"/>
                <w:highlight w:val="none"/>
                <w:lang w:val="en" w:eastAsia="zh-CN"/>
              </w:rPr>
            </w:pPr>
            <w:r>
              <w:rPr>
                <w:rFonts w:hint="eastAsia" w:ascii="仿宋" w:hAnsi="仿宋" w:eastAsia="仿宋" w:cs="仿宋"/>
                <w:color w:val="auto"/>
                <w:sz w:val="24"/>
                <w:szCs w:val="24"/>
                <w:highlight w:val="none"/>
                <w:lang w:val="en-US" w:eastAsia="zh-CN"/>
              </w:rPr>
              <w:t>3</w:t>
            </w:r>
            <w:r>
              <w:rPr>
                <w:rFonts w:hint="default" w:ascii="仿宋" w:hAnsi="仿宋" w:eastAsia="仿宋" w:cs="仿宋"/>
                <w:color w:val="auto"/>
                <w:sz w:val="24"/>
                <w:szCs w:val="24"/>
                <w:highlight w:val="none"/>
                <w:lang w:val="en" w:eastAsia="zh-CN"/>
              </w:rPr>
              <w:t>0</w:t>
            </w:r>
          </w:p>
        </w:tc>
        <w:tc>
          <w:tcPr>
            <w:tcW w:w="1095" w:type="dxa"/>
            <w:noWrap w:val="0"/>
            <w:vAlign w:val="center"/>
          </w:tcPr>
          <w:p w14:paraId="381C0BE1">
            <w:pPr>
              <w:keepNext w:val="0"/>
              <w:keepLines w:val="0"/>
              <w:pageBreakBefore w:val="0"/>
              <w:shd w:val="clear" w:color="auto" w:fill="auto"/>
              <w:kinsoku/>
              <w:wordWrap/>
              <w:overflowPunct/>
              <w:topLinePunct w:val="0"/>
              <w:autoSpaceDE/>
              <w:autoSpaceDN/>
              <w:bidi w:val="0"/>
              <w:adjustRightInd/>
              <w:snapToGrid/>
              <w:spacing w:line="440" w:lineRule="exact"/>
              <w:ind w:left="-99" w:leftChars="-47" w:right="-78" w:rightChars="-37"/>
              <w:jc w:val="center"/>
              <w:textAlignment w:val="auto"/>
              <w:rPr>
                <w:rFonts w:hint="eastAsia" w:ascii="仿宋" w:hAnsi="仿宋" w:eastAsia="仿宋" w:cs="仿宋"/>
                <w:color w:val="auto"/>
                <w:sz w:val="24"/>
                <w:szCs w:val="24"/>
                <w:highlight w:val="none"/>
                <w:lang w:val="en-US" w:eastAsia="zh-CN"/>
              </w:rPr>
            </w:pPr>
          </w:p>
        </w:tc>
      </w:tr>
      <w:tr w14:paraId="781A4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03" w:type="dxa"/>
            <w:noWrap w:val="0"/>
            <w:vAlign w:val="center"/>
          </w:tcPr>
          <w:p w14:paraId="6420B2ED">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440" w:lineRule="exact"/>
              <w:ind w:left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7044" w:type="dxa"/>
            <w:shd w:val="clear" w:color="auto" w:fill="auto"/>
            <w:noWrap w:val="0"/>
            <w:vAlign w:val="center"/>
          </w:tcPr>
          <w:p w14:paraId="009A73B1">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kern w:val="0"/>
                <w:sz w:val="24"/>
                <w:szCs w:val="22"/>
                <w:highlight w:val="none"/>
                <w:lang w:val="en-US" w:eastAsia="zh-CN" w:bidi="ar-SA"/>
              </w:rPr>
            </w:pPr>
            <w:r>
              <w:rPr>
                <w:rFonts w:hint="eastAsia" w:ascii="仿宋" w:hAnsi="仿宋" w:eastAsia="仿宋" w:cs="仿宋"/>
                <w:color w:val="000000"/>
                <w:kern w:val="0"/>
                <w:sz w:val="24"/>
                <w:szCs w:val="22"/>
                <w:highlight w:val="none"/>
                <w:lang w:val="en-US" w:eastAsia="zh-CN" w:bidi="ar-SA"/>
              </w:rPr>
              <w:t>企业基础情况分。根据供应商企业规模、行业信誉、服务能力描述完整度进行评分，描述完整清晰、企业综合条件优秀得10分，基本满足要求得7分，描述缺项较多得5分。（可提供PPT纸质介绍）</w:t>
            </w:r>
          </w:p>
        </w:tc>
        <w:tc>
          <w:tcPr>
            <w:tcW w:w="945" w:type="dxa"/>
            <w:noWrap w:val="0"/>
            <w:vAlign w:val="center"/>
          </w:tcPr>
          <w:p w14:paraId="1A06BEFD">
            <w:pPr>
              <w:keepNext w:val="0"/>
              <w:keepLines w:val="0"/>
              <w:pageBreakBefore w:val="0"/>
              <w:shd w:val="clear" w:color="auto" w:fill="auto"/>
              <w:kinsoku/>
              <w:wordWrap/>
              <w:overflowPunct/>
              <w:topLinePunct w:val="0"/>
              <w:autoSpaceDE/>
              <w:autoSpaceDN/>
              <w:bidi w:val="0"/>
              <w:adjustRightInd/>
              <w:snapToGrid/>
              <w:spacing w:line="440" w:lineRule="exact"/>
              <w:ind w:left="-99" w:leftChars="-47" w:right="-78" w:rightChars="-37"/>
              <w:jc w:val="center"/>
              <w:textAlignment w:val="auto"/>
              <w:rPr>
                <w:rFonts w:hint="default" w:ascii="仿宋" w:hAnsi="仿宋" w:eastAsia="仿宋" w:cs="仿宋"/>
                <w:color w:val="auto"/>
                <w:sz w:val="24"/>
                <w:szCs w:val="24"/>
                <w:highlight w:val="none"/>
                <w:lang w:val="en" w:eastAsia="zh-CN"/>
              </w:rPr>
            </w:pPr>
            <w:r>
              <w:rPr>
                <w:rFonts w:hint="eastAsia" w:ascii="仿宋" w:hAnsi="仿宋" w:eastAsia="仿宋" w:cs="仿宋"/>
                <w:color w:val="auto"/>
                <w:sz w:val="24"/>
                <w:szCs w:val="24"/>
                <w:highlight w:val="none"/>
                <w:lang w:val="en-US" w:eastAsia="zh-CN"/>
              </w:rPr>
              <w:t>1</w:t>
            </w:r>
            <w:r>
              <w:rPr>
                <w:rFonts w:hint="default" w:ascii="仿宋" w:hAnsi="仿宋" w:eastAsia="仿宋" w:cs="仿宋"/>
                <w:color w:val="auto"/>
                <w:sz w:val="24"/>
                <w:szCs w:val="24"/>
                <w:highlight w:val="none"/>
                <w:lang w:val="en" w:eastAsia="zh-CN"/>
              </w:rPr>
              <w:t>0</w:t>
            </w:r>
          </w:p>
        </w:tc>
        <w:tc>
          <w:tcPr>
            <w:tcW w:w="1095" w:type="dxa"/>
            <w:noWrap w:val="0"/>
            <w:vAlign w:val="center"/>
          </w:tcPr>
          <w:p w14:paraId="7F46572E">
            <w:pPr>
              <w:keepNext w:val="0"/>
              <w:keepLines w:val="0"/>
              <w:pageBreakBefore w:val="0"/>
              <w:shd w:val="clear" w:color="auto" w:fill="auto"/>
              <w:kinsoku/>
              <w:wordWrap/>
              <w:overflowPunct/>
              <w:topLinePunct w:val="0"/>
              <w:autoSpaceDE/>
              <w:autoSpaceDN/>
              <w:bidi w:val="0"/>
              <w:adjustRightInd/>
              <w:snapToGrid/>
              <w:spacing w:line="440" w:lineRule="exact"/>
              <w:ind w:left="-99" w:leftChars="-47" w:right="-78" w:rightChars="-37"/>
              <w:jc w:val="center"/>
              <w:textAlignment w:val="auto"/>
              <w:rPr>
                <w:rFonts w:hint="eastAsia" w:ascii="仿宋" w:hAnsi="仿宋" w:eastAsia="仿宋" w:cs="仿宋"/>
                <w:color w:val="auto"/>
                <w:sz w:val="24"/>
                <w:szCs w:val="24"/>
                <w:highlight w:val="none"/>
                <w:lang w:val="en-US" w:eastAsia="zh-CN"/>
              </w:rPr>
            </w:pPr>
          </w:p>
        </w:tc>
      </w:tr>
      <w:tr w14:paraId="72B3F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03" w:type="dxa"/>
            <w:noWrap w:val="0"/>
            <w:vAlign w:val="center"/>
          </w:tcPr>
          <w:p w14:paraId="359349BE">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440" w:lineRule="exact"/>
              <w:ind w:left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7044" w:type="dxa"/>
            <w:shd w:val="clear" w:color="auto" w:fill="auto"/>
            <w:noWrap w:val="0"/>
            <w:vAlign w:val="center"/>
          </w:tcPr>
          <w:p w14:paraId="5F959F6E">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kern w:val="0"/>
                <w:sz w:val="24"/>
                <w:szCs w:val="22"/>
                <w:highlight w:val="none"/>
                <w:lang w:val="en-US" w:eastAsia="zh-CN" w:bidi="ar-SA"/>
              </w:rPr>
            </w:pPr>
            <w:r>
              <w:rPr>
                <w:rFonts w:hint="eastAsia" w:ascii="仿宋" w:hAnsi="仿宋" w:eastAsia="仿宋" w:cs="仿宋"/>
                <w:color w:val="000000"/>
                <w:kern w:val="0"/>
                <w:sz w:val="24"/>
                <w:szCs w:val="22"/>
                <w:highlight w:val="none"/>
                <w:lang w:val="en-US" w:eastAsia="zh-CN" w:bidi="ar-SA"/>
              </w:rPr>
              <w:t>对项目整体服务方案的完整性、合理性、可行性进行评分：方案完整，适配医院公务出行需求，具备明确的调度、响应机制得8-10分；方案基本完整，能够满足核心需求得5-7分；方案框架不全，可行性不足得5分以下。（可提供PPT纸质介绍）</w:t>
            </w:r>
          </w:p>
        </w:tc>
        <w:tc>
          <w:tcPr>
            <w:tcW w:w="945" w:type="dxa"/>
            <w:noWrap w:val="0"/>
            <w:vAlign w:val="center"/>
          </w:tcPr>
          <w:p w14:paraId="6B1289F3">
            <w:pPr>
              <w:keepNext w:val="0"/>
              <w:keepLines w:val="0"/>
              <w:pageBreakBefore w:val="0"/>
              <w:shd w:val="clear" w:color="auto" w:fill="auto"/>
              <w:kinsoku/>
              <w:wordWrap/>
              <w:overflowPunct/>
              <w:topLinePunct w:val="0"/>
              <w:autoSpaceDE/>
              <w:autoSpaceDN/>
              <w:bidi w:val="0"/>
              <w:adjustRightInd/>
              <w:snapToGrid/>
              <w:spacing w:line="440" w:lineRule="exact"/>
              <w:ind w:left="-99" w:leftChars="-47" w:right="-78" w:rightChars="-37"/>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w:t>
            </w:r>
          </w:p>
        </w:tc>
        <w:tc>
          <w:tcPr>
            <w:tcW w:w="1095" w:type="dxa"/>
            <w:noWrap w:val="0"/>
            <w:vAlign w:val="center"/>
          </w:tcPr>
          <w:p w14:paraId="7FAD6D26">
            <w:pPr>
              <w:keepNext w:val="0"/>
              <w:keepLines w:val="0"/>
              <w:pageBreakBefore w:val="0"/>
              <w:shd w:val="clear" w:color="auto" w:fill="auto"/>
              <w:kinsoku/>
              <w:wordWrap/>
              <w:overflowPunct/>
              <w:topLinePunct w:val="0"/>
              <w:autoSpaceDE/>
              <w:autoSpaceDN/>
              <w:bidi w:val="0"/>
              <w:adjustRightInd/>
              <w:snapToGrid/>
              <w:spacing w:line="440" w:lineRule="exact"/>
              <w:ind w:left="-99" w:leftChars="-47" w:right="-78" w:rightChars="-37"/>
              <w:jc w:val="center"/>
              <w:textAlignment w:val="auto"/>
              <w:rPr>
                <w:rFonts w:hint="eastAsia" w:ascii="仿宋" w:hAnsi="仿宋" w:eastAsia="仿宋" w:cs="仿宋"/>
                <w:color w:val="auto"/>
                <w:sz w:val="24"/>
                <w:szCs w:val="24"/>
                <w:highlight w:val="none"/>
                <w:lang w:val="en-US" w:eastAsia="zh-CN"/>
              </w:rPr>
            </w:pPr>
          </w:p>
        </w:tc>
      </w:tr>
      <w:tr w14:paraId="19DD4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03" w:type="dxa"/>
            <w:shd w:val="clear" w:color="auto" w:fill="auto"/>
            <w:noWrap w:val="0"/>
            <w:vAlign w:val="center"/>
          </w:tcPr>
          <w:p w14:paraId="204D5923">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4</w:t>
            </w:r>
          </w:p>
        </w:tc>
        <w:tc>
          <w:tcPr>
            <w:tcW w:w="7044" w:type="dxa"/>
            <w:shd w:val="clear" w:color="auto" w:fill="auto"/>
            <w:noWrap w:val="0"/>
            <w:vAlign w:val="center"/>
          </w:tcPr>
          <w:p w14:paraId="29546E01">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kern w:val="0"/>
                <w:sz w:val="24"/>
                <w:szCs w:val="22"/>
                <w:highlight w:val="none"/>
                <w:lang w:val="en-US" w:eastAsia="zh-CN" w:bidi="ar-SA"/>
              </w:rPr>
            </w:pPr>
            <w:r>
              <w:rPr>
                <w:rFonts w:hint="eastAsia" w:ascii="仿宋" w:hAnsi="仿宋" w:eastAsia="仿宋" w:cs="仿宋"/>
                <w:color w:val="000000"/>
                <w:kern w:val="0"/>
                <w:sz w:val="24"/>
                <w:szCs w:val="22"/>
                <w:highlight w:val="none"/>
                <w:lang w:val="en-US" w:eastAsia="zh-CN" w:bidi="ar-SA"/>
              </w:rPr>
              <w:t>从安全管理制度、司机资质审核、车辆安全保障、信息安全、应急处理机制五个维度进行评分：具备完善的一键报警、车内录音录像功能、司机黑名单管理机制，保险配置齐全，安全制度完善得10-15分；具备基本安全保障机制，核心要求均满足得5-9分；安全保障缺项较多，存在明显风险点得5分以下。（可提供PPT纸质介绍）</w:t>
            </w:r>
          </w:p>
        </w:tc>
        <w:tc>
          <w:tcPr>
            <w:tcW w:w="945" w:type="dxa"/>
            <w:noWrap w:val="0"/>
            <w:vAlign w:val="center"/>
          </w:tcPr>
          <w:p w14:paraId="7C1B5DF8">
            <w:pPr>
              <w:keepNext w:val="0"/>
              <w:keepLines w:val="0"/>
              <w:pageBreakBefore w:val="0"/>
              <w:shd w:val="clear" w:color="auto" w:fill="auto"/>
              <w:kinsoku/>
              <w:wordWrap/>
              <w:overflowPunct/>
              <w:topLinePunct w:val="0"/>
              <w:autoSpaceDE/>
              <w:autoSpaceDN/>
              <w:bidi w:val="0"/>
              <w:adjustRightInd/>
              <w:snapToGrid/>
              <w:spacing w:line="440" w:lineRule="exact"/>
              <w:ind w:left="-99" w:leftChars="-47" w:right="-78" w:rightChars="-37"/>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15</w:t>
            </w:r>
          </w:p>
        </w:tc>
        <w:tc>
          <w:tcPr>
            <w:tcW w:w="1095" w:type="dxa"/>
            <w:noWrap w:val="0"/>
            <w:vAlign w:val="center"/>
          </w:tcPr>
          <w:p w14:paraId="1C7CE344">
            <w:pPr>
              <w:keepNext w:val="0"/>
              <w:keepLines w:val="0"/>
              <w:pageBreakBefore w:val="0"/>
              <w:shd w:val="clear" w:color="auto" w:fill="auto"/>
              <w:kinsoku/>
              <w:wordWrap/>
              <w:overflowPunct/>
              <w:topLinePunct w:val="0"/>
              <w:autoSpaceDE/>
              <w:autoSpaceDN/>
              <w:bidi w:val="0"/>
              <w:adjustRightInd/>
              <w:snapToGrid/>
              <w:spacing w:line="440" w:lineRule="exact"/>
              <w:ind w:left="-99" w:leftChars="-47" w:right="-78" w:rightChars="-37"/>
              <w:jc w:val="center"/>
              <w:textAlignment w:val="auto"/>
              <w:rPr>
                <w:rFonts w:hint="eastAsia" w:ascii="仿宋" w:hAnsi="仿宋" w:eastAsia="仿宋" w:cs="仿宋"/>
                <w:color w:val="auto"/>
                <w:sz w:val="24"/>
                <w:szCs w:val="24"/>
                <w:highlight w:val="none"/>
                <w:lang w:val="en-US" w:eastAsia="zh-CN"/>
              </w:rPr>
            </w:pPr>
          </w:p>
        </w:tc>
      </w:tr>
      <w:tr w14:paraId="1BC22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03" w:type="dxa"/>
            <w:shd w:val="clear" w:color="auto" w:fill="auto"/>
            <w:noWrap w:val="0"/>
            <w:vAlign w:val="center"/>
          </w:tcPr>
          <w:p w14:paraId="5CD3E3AC">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5</w:t>
            </w:r>
          </w:p>
        </w:tc>
        <w:tc>
          <w:tcPr>
            <w:tcW w:w="7044" w:type="dxa"/>
            <w:shd w:val="clear" w:color="auto" w:fill="auto"/>
            <w:noWrap w:val="0"/>
            <w:vAlign w:val="center"/>
          </w:tcPr>
          <w:p w14:paraId="6380A8CF">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自2020年1月1日至今，投标人承担过企业、事业单位或医院网约车/公务用车服务项目，每提供1项符合要求的项目合同得5分，最多累计10分。</w:t>
            </w:r>
          </w:p>
        </w:tc>
        <w:tc>
          <w:tcPr>
            <w:tcW w:w="945" w:type="dxa"/>
            <w:noWrap w:val="0"/>
            <w:vAlign w:val="center"/>
          </w:tcPr>
          <w:p w14:paraId="5A0029E4">
            <w:pPr>
              <w:keepNext w:val="0"/>
              <w:keepLines w:val="0"/>
              <w:pageBreakBefore w:val="0"/>
              <w:shd w:val="clear" w:color="auto" w:fill="auto"/>
              <w:kinsoku/>
              <w:wordWrap/>
              <w:overflowPunct/>
              <w:topLinePunct w:val="0"/>
              <w:autoSpaceDE/>
              <w:autoSpaceDN/>
              <w:bidi w:val="0"/>
              <w:adjustRightInd/>
              <w:snapToGrid/>
              <w:spacing w:line="440" w:lineRule="exact"/>
              <w:ind w:left="-99" w:leftChars="-47" w:right="-78" w:rightChars="-37"/>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w:t>
            </w:r>
          </w:p>
        </w:tc>
        <w:tc>
          <w:tcPr>
            <w:tcW w:w="1095" w:type="dxa"/>
            <w:noWrap w:val="0"/>
            <w:vAlign w:val="center"/>
          </w:tcPr>
          <w:p w14:paraId="405F9569">
            <w:pPr>
              <w:keepNext w:val="0"/>
              <w:keepLines w:val="0"/>
              <w:pageBreakBefore w:val="0"/>
              <w:shd w:val="clear" w:color="auto" w:fill="auto"/>
              <w:kinsoku/>
              <w:wordWrap/>
              <w:overflowPunct/>
              <w:topLinePunct w:val="0"/>
              <w:autoSpaceDE/>
              <w:autoSpaceDN/>
              <w:bidi w:val="0"/>
              <w:adjustRightInd/>
              <w:snapToGrid/>
              <w:spacing w:line="440" w:lineRule="exact"/>
              <w:ind w:left="-99" w:leftChars="-47" w:right="-78" w:rightChars="-37"/>
              <w:jc w:val="center"/>
              <w:textAlignment w:val="auto"/>
              <w:rPr>
                <w:rFonts w:hint="eastAsia" w:ascii="仿宋" w:hAnsi="仿宋" w:eastAsia="仿宋" w:cs="仿宋"/>
                <w:color w:val="auto"/>
                <w:sz w:val="24"/>
                <w:szCs w:val="24"/>
                <w:highlight w:val="none"/>
                <w:lang w:val="en-US" w:eastAsia="zh-CN"/>
              </w:rPr>
            </w:pPr>
          </w:p>
        </w:tc>
      </w:tr>
      <w:tr w14:paraId="2AB5F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03" w:type="dxa"/>
            <w:noWrap w:val="0"/>
            <w:vAlign w:val="center"/>
          </w:tcPr>
          <w:p w14:paraId="4407C8A1">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440" w:lineRule="exact"/>
              <w:ind w:left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６</w:t>
            </w:r>
          </w:p>
        </w:tc>
        <w:tc>
          <w:tcPr>
            <w:tcW w:w="7044" w:type="dxa"/>
            <w:shd w:val="clear" w:color="auto" w:fill="auto"/>
            <w:noWrap w:val="0"/>
            <w:vAlign w:val="center"/>
          </w:tcPr>
          <w:p w14:paraId="1074C5E4">
            <w:pPr>
              <w:widowControl/>
              <w:spacing w:line="400" w:lineRule="exact"/>
              <w:jc w:val="left"/>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从响应时效、车辆洁净标准、费用结算规范性、投诉处理机制、不转包承诺等维度评比，全部具备的，得10分，每缺一个减少2分；具备本地线下服务团队，且有专人对接我院服务得5分，无专项对接团队不得分。</w:t>
            </w:r>
          </w:p>
        </w:tc>
        <w:tc>
          <w:tcPr>
            <w:tcW w:w="945" w:type="dxa"/>
            <w:shd w:val="clear" w:color="auto" w:fill="auto"/>
            <w:noWrap w:val="0"/>
            <w:vAlign w:val="center"/>
          </w:tcPr>
          <w:p w14:paraId="5674ED0F">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leftChars="0" w:right="0" w:rightChars="0"/>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15</w:t>
            </w:r>
          </w:p>
        </w:tc>
        <w:tc>
          <w:tcPr>
            <w:tcW w:w="1095" w:type="dxa"/>
            <w:shd w:val="clear" w:color="auto" w:fill="auto"/>
            <w:noWrap w:val="0"/>
            <w:vAlign w:val="center"/>
          </w:tcPr>
          <w:p w14:paraId="1DC06C9C">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leftChars="0" w:right="0" w:rightChars="0"/>
              <w:jc w:val="center"/>
              <w:textAlignment w:val="auto"/>
              <w:rPr>
                <w:rFonts w:hint="eastAsia" w:ascii="仿宋" w:hAnsi="仿宋" w:eastAsia="仿宋" w:cs="仿宋"/>
                <w:color w:val="auto"/>
                <w:kern w:val="2"/>
                <w:sz w:val="24"/>
                <w:szCs w:val="24"/>
                <w:highlight w:val="none"/>
                <w:lang w:val="en-US" w:eastAsia="zh-CN" w:bidi="ar-SA"/>
              </w:rPr>
            </w:pPr>
          </w:p>
        </w:tc>
      </w:tr>
      <w:tr w14:paraId="36CA5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jc w:val="center"/>
        </w:trPr>
        <w:tc>
          <w:tcPr>
            <w:tcW w:w="803" w:type="dxa"/>
            <w:noWrap w:val="0"/>
            <w:vAlign w:val="center"/>
          </w:tcPr>
          <w:p w14:paraId="388BCDFB">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440" w:lineRule="exact"/>
              <w:ind w:leftChars="0"/>
              <w:jc w:val="center"/>
              <w:textAlignment w:val="auto"/>
              <w:rPr>
                <w:rFonts w:hint="default" w:ascii="仿宋" w:hAnsi="仿宋" w:eastAsia="仿宋" w:cs="仿宋"/>
                <w:color w:val="auto"/>
                <w:sz w:val="24"/>
                <w:szCs w:val="24"/>
                <w:highlight w:val="none"/>
                <w:lang w:val="en" w:eastAsia="zh-CN"/>
              </w:rPr>
            </w:pPr>
            <w:r>
              <w:rPr>
                <w:rFonts w:hint="default" w:ascii="仿宋" w:hAnsi="仿宋" w:eastAsia="仿宋" w:cs="仿宋"/>
                <w:color w:val="auto"/>
                <w:sz w:val="24"/>
                <w:szCs w:val="24"/>
                <w:highlight w:val="none"/>
                <w:lang w:val="en" w:eastAsia="zh-CN"/>
              </w:rPr>
              <w:t>7</w:t>
            </w:r>
          </w:p>
        </w:tc>
        <w:tc>
          <w:tcPr>
            <w:tcW w:w="7044" w:type="dxa"/>
            <w:shd w:val="clear" w:color="auto" w:fill="auto"/>
            <w:noWrap w:val="0"/>
            <w:vAlign w:val="center"/>
          </w:tcPr>
          <w:p w14:paraId="57713AE8">
            <w:pPr>
              <w:widowControl/>
              <w:spacing w:line="400" w:lineRule="exact"/>
              <w:jc w:val="left"/>
              <w:rPr>
                <w:rFonts w:hint="eastAsia" w:ascii="仿宋" w:hAnsi="仿宋" w:eastAsia="仿宋" w:cs="仿宋"/>
                <w:color w:val="000000"/>
                <w:kern w:val="0"/>
                <w:sz w:val="24"/>
                <w:szCs w:val="22"/>
                <w:highlight w:val="none"/>
                <w:lang w:val="en-US" w:eastAsia="zh-CN" w:bidi="ar-SA"/>
              </w:rPr>
            </w:pPr>
            <w:r>
              <w:rPr>
                <w:rFonts w:hint="eastAsia" w:ascii="仿宋" w:hAnsi="仿宋" w:eastAsia="仿宋" w:cs="仿宋"/>
                <w:kern w:val="0"/>
                <w:sz w:val="24"/>
                <w:highlight w:val="none"/>
                <w:lang w:val="en-US" w:eastAsia="zh-CN"/>
              </w:rPr>
              <w:t>根据投标人</w:t>
            </w:r>
            <w:r>
              <w:rPr>
                <w:rFonts w:hint="default" w:ascii="仿宋" w:hAnsi="仿宋" w:eastAsia="仿宋" w:cs="仿宋"/>
                <w:kern w:val="0"/>
                <w:sz w:val="24"/>
                <w:highlight w:val="none"/>
                <w:lang w:val="en" w:eastAsia="zh-CN"/>
              </w:rPr>
              <w:t>2022-2026</w:t>
            </w:r>
            <w:r>
              <w:rPr>
                <w:rFonts w:hint="eastAsia" w:ascii="仿宋" w:hAnsi="仿宋" w:eastAsia="仿宋" w:cs="仿宋"/>
                <w:kern w:val="0"/>
                <w:sz w:val="24"/>
                <w:highlight w:val="none"/>
                <w:lang w:val="en" w:eastAsia="zh-CN"/>
              </w:rPr>
              <w:t>年</w:t>
            </w:r>
            <w:r>
              <w:rPr>
                <w:rFonts w:hint="eastAsia" w:ascii="仿宋" w:hAnsi="仿宋" w:eastAsia="仿宋" w:cs="仿宋"/>
                <w:kern w:val="0"/>
                <w:sz w:val="24"/>
                <w:highlight w:val="none"/>
                <w:lang w:val="en-US" w:eastAsia="zh-CN"/>
              </w:rPr>
              <w:t>获得</w:t>
            </w:r>
            <w:r>
              <w:rPr>
                <w:rFonts w:hint="eastAsia" w:ascii="仿宋" w:hAnsi="仿宋" w:eastAsia="仿宋" w:cs="仿宋"/>
                <w:kern w:val="0"/>
                <w:sz w:val="24"/>
                <w:highlight w:val="none"/>
                <w:lang w:val="en" w:eastAsia="zh-CN"/>
              </w:rPr>
              <w:t>社会</w:t>
            </w:r>
            <w:r>
              <w:rPr>
                <w:rFonts w:hint="eastAsia" w:ascii="仿宋" w:hAnsi="仿宋" w:eastAsia="仿宋" w:cs="仿宋"/>
                <w:kern w:val="0"/>
                <w:sz w:val="24"/>
                <w:highlight w:val="none"/>
                <w:lang w:val="en-US" w:eastAsia="zh-CN"/>
              </w:rPr>
              <w:t>荣誉情况。表明企业、平台等在发展中对社会的贡献，企业</w:t>
            </w:r>
            <w:r>
              <w:rPr>
                <w:rFonts w:hint="default" w:ascii="仿宋" w:hAnsi="仿宋" w:eastAsia="仿宋" w:cs="仿宋"/>
                <w:kern w:val="0"/>
                <w:sz w:val="24"/>
                <w:highlight w:val="none"/>
                <w:lang w:val="en" w:eastAsia="zh-CN"/>
              </w:rPr>
              <w:t>ESG</w:t>
            </w:r>
            <w:r>
              <w:rPr>
                <w:rFonts w:hint="eastAsia" w:ascii="仿宋" w:hAnsi="仿宋" w:eastAsia="仿宋" w:cs="仿宋"/>
                <w:kern w:val="0"/>
                <w:sz w:val="24"/>
                <w:highlight w:val="none"/>
                <w:lang w:val="en" w:eastAsia="zh-CN"/>
              </w:rPr>
              <w:t>价值创造力：</w:t>
            </w:r>
            <w:r>
              <w:rPr>
                <w:rFonts w:hint="default" w:ascii="仿宋" w:hAnsi="仿宋" w:eastAsia="仿宋" w:cs="仿宋"/>
                <w:kern w:val="0"/>
                <w:sz w:val="24"/>
                <w:highlight w:val="none"/>
                <w:lang w:val="en" w:eastAsia="zh-CN"/>
              </w:rPr>
              <w:t>2025</w:t>
            </w:r>
            <w:r>
              <w:rPr>
                <w:rFonts w:hint="eastAsia" w:ascii="仿宋" w:hAnsi="仿宋" w:eastAsia="仿宋" w:cs="仿宋"/>
                <w:kern w:val="0"/>
                <w:sz w:val="24"/>
                <w:highlight w:val="none"/>
                <w:lang w:val="en" w:eastAsia="zh-CN"/>
              </w:rPr>
              <w:t>年度</w:t>
            </w:r>
            <w:r>
              <w:rPr>
                <w:rFonts w:hint="eastAsia" w:ascii="仿宋" w:hAnsi="仿宋" w:eastAsia="仿宋" w:cs="仿宋"/>
                <w:kern w:val="0"/>
                <w:sz w:val="24"/>
                <w:highlight w:val="none"/>
                <w:lang w:val="en-US" w:eastAsia="zh-CN"/>
              </w:rPr>
              <w:t>有三项市级以上（含）荣誉或市级表扬得</w:t>
            </w:r>
            <w:r>
              <w:rPr>
                <w:rFonts w:hint="default" w:ascii="仿宋" w:hAnsi="仿宋" w:eastAsia="仿宋" w:cs="仿宋"/>
                <w:kern w:val="0"/>
                <w:sz w:val="24"/>
                <w:highlight w:val="none"/>
                <w:lang w:val="en" w:eastAsia="zh-CN"/>
              </w:rPr>
              <w:t>5</w:t>
            </w:r>
            <w:r>
              <w:rPr>
                <w:rFonts w:hint="eastAsia" w:ascii="仿宋" w:hAnsi="仿宋" w:eastAsia="仿宋" w:cs="仿宋"/>
                <w:kern w:val="0"/>
                <w:sz w:val="24"/>
                <w:highlight w:val="none"/>
                <w:lang w:val="en" w:eastAsia="zh-CN"/>
              </w:rPr>
              <w:t>分；获得两项３分；获得一项１分；未获奖项</w:t>
            </w:r>
            <w:r>
              <w:rPr>
                <w:rFonts w:hint="default" w:ascii="仿宋" w:hAnsi="仿宋" w:eastAsia="仿宋" w:cs="仿宋"/>
                <w:kern w:val="0"/>
                <w:sz w:val="24"/>
                <w:highlight w:val="none"/>
                <w:lang w:val="en" w:eastAsia="zh-CN"/>
              </w:rPr>
              <w:t>0</w:t>
            </w:r>
            <w:r>
              <w:rPr>
                <w:rFonts w:hint="eastAsia" w:ascii="仿宋" w:hAnsi="仿宋" w:eastAsia="仿宋" w:cs="仿宋"/>
                <w:kern w:val="0"/>
                <w:sz w:val="24"/>
                <w:highlight w:val="none"/>
                <w:lang w:val="en" w:eastAsia="zh-CN"/>
              </w:rPr>
              <w:t>分。</w:t>
            </w:r>
          </w:p>
        </w:tc>
        <w:tc>
          <w:tcPr>
            <w:tcW w:w="945" w:type="dxa"/>
            <w:shd w:val="clear" w:color="auto" w:fill="auto"/>
            <w:noWrap w:val="0"/>
            <w:vAlign w:val="center"/>
          </w:tcPr>
          <w:p w14:paraId="42E2212E">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leftChars="0" w:right="0" w:rightChars="0"/>
              <w:jc w:val="center"/>
              <w:textAlignment w:val="auto"/>
              <w:rPr>
                <w:rFonts w:hint="default" w:ascii="仿宋" w:hAnsi="仿宋" w:eastAsia="仿宋" w:cs="仿宋"/>
                <w:color w:val="auto"/>
                <w:kern w:val="2"/>
                <w:sz w:val="24"/>
                <w:szCs w:val="24"/>
                <w:highlight w:val="none"/>
                <w:lang w:val="en" w:eastAsia="zh-CN" w:bidi="ar-SA"/>
              </w:rPr>
            </w:pPr>
            <w:r>
              <w:rPr>
                <w:rFonts w:hint="default" w:ascii="仿宋" w:hAnsi="仿宋" w:eastAsia="仿宋" w:cs="仿宋"/>
                <w:color w:val="auto"/>
                <w:kern w:val="2"/>
                <w:sz w:val="24"/>
                <w:szCs w:val="24"/>
                <w:highlight w:val="none"/>
                <w:lang w:val="en" w:eastAsia="zh-CN" w:bidi="ar-SA"/>
              </w:rPr>
              <w:t>5</w:t>
            </w:r>
          </w:p>
        </w:tc>
        <w:tc>
          <w:tcPr>
            <w:tcW w:w="1095" w:type="dxa"/>
            <w:shd w:val="clear" w:color="auto" w:fill="auto"/>
            <w:noWrap w:val="0"/>
            <w:vAlign w:val="center"/>
          </w:tcPr>
          <w:p w14:paraId="11F6465B">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leftChars="0" w:right="0" w:rightChars="0"/>
              <w:jc w:val="center"/>
              <w:textAlignment w:val="auto"/>
              <w:rPr>
                <w:rFonts w:hint="eastAsia" w:ascii="仿宋" w:hAnsi="仿宋" w:eastAsia="仿宋" w:cs="仿宋"/>
                <w:color w:val="auto"/>
                <w:kern w:val="2"/>
                <w:sz w:val="24"/>
                <w:szCs w:val="24"/>
                <w:highlight w:val="none"/>
                <w:lang w:val="en-US" w:eastAsia="zh-CN" w:bidi="ar-SA"/>
              </w:rPr>
            </w:pPr>
          </w:p>
        </w:tc>
      </w:tr>
      <w:tr w14:paraId="0A4E6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jc w:val="center"/>
        </w:trPr>
        <w:tc>
          <w:tcPr>
            <w:tcW w:w="803" w:type="dxa"/>
            <w:noWrap w:val="0"/>
            <w:vAlign w:val="center"/>
          </w:tcPr>
          <w:p w14:paraId="3D14F981">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440" w:lineRule="exact"/>
              <w:ind w:leftChars="0"/>
              <w:jc w:val="center"/>
              <w:textAlignment w:val="auto"/>
              <w:rPr>
                <w:rFonts w:hint="default" w:ascii="仿宋" w:hAnsi="仿宋" w:eastAsia="仿宋" w:cs="仿宋"/>
                <w:color w:val="auto"/>
                <w:sz w:val="24"/>
                <w:szCs w:val="24"/>
                <w:highlight w:val="none"/>
                <w:lang w:val="en" w:eastAsia="zh-CN"/>
              </w:rPr>
            </w:pPr>
            <w:r>
              <w:rPr>
                <w:rFonts w:hint="default" w:ascii="仿宋" w:hAnsi="仿宋" w:eastAsia="仿宋" w:cs="仿宋"/>
                <w:color w:val="auto"/>
                <w:sz w:val="24"/>
                <w:szCs w:val="24"/>
                <w:highlight w:val="none"/>
                <w:lang w:val="en" w:eastAsia="zh-CN"/>
              </w:rPr>
              <w:t>8</w:t>
            </w:r>
          </w:p>
        </w:tc>
        <w:tc>
          <w:tcPr>
            <w:tcW w:w="7044" w:type="dxa"/>
            <w:shd w:val="clear" w:color="auto" w:fill="auto"/>
            <w:noWrap w:val="0"/>
            <w:vAlign w:val="center"/>
          </w:tcPr>
          <w:p w14:paraId="414955C7">
            <w:pPr>
              <w:widowControl/>
              <w:spacing w:line="400" w:lineRule="exact"/>
              <w:jc w:val="left"/>
              <w:rPr>
                <w:rFonts w:hint="default" w:ascii="仿宋" w:hAnsi="仿宋" w:eastAsia="仿宋" w:cs="仿宋"/>
                <w:kern w:val="0"/>
                <w:sz w:val="24"/>
                <w:highlight w:val="none"/>
                <w:lang w:val="en" w:eastAsia="zh-CN"/>
              </w:rPr>
            </w:pPr>
            <w:r>
              <w:rPr>
                <w:rFonts w:hint="eastAsia" w:ascii="仿宋" w:hAnsi="仿宋" w:eastAsia="仿宋" w:cs="仿宋"/>
                <w:color w:val="000000"/>
                <w:kern w:val="0"/>
                <w:sz w:val="24"/>
                <w:szCs w:val="22"/>
                <w:highlight w:val="none"/>
                <w:lang w:val="en-US" w:eastAsia="zh-CN" w:bidi="ar-SA"/>
              </w:rPr>
              <w:t>根据投标人近2023-2025年三年厦门市出租汽车服务质量信誉考核网约车服务质量信誉考核结果评分：有三次考核等级为AA级得</w:t>
            </w:r>
            <w:r>
              <w:rPr>
                <w:rFonts w:hint="default" w:ascii="仿宋" w:hAnsi="仿宋" w:eastAsia="仿宋" w:cs="仿宋"/>
                <w:color w:val="000000"/>
                <w:kern w:val="0"/>
                <w:sz w:val="24"/>
                <w:szCs w:val="22"/>
                <w:highlight w:val="none"/>
                <w:lang w:val="en" w:eastAsia="zh-CN" w:bidi="ar-SA"/>
              </w:rPr>
              <w:t>5</w:t>
            </w:r>
            <w:r>
              <w:rPr>
                <w:rFonts w:hint="eastAsia" w:ascii="仿宋" w:hAnsi="仿宋" w:eastAsia="仿宋" w:cs="仿宋"/>
                <w:color w:val="000000"/>
                <w:kern w:val="0"/>
                <w:sz w:val="24"/>
                <w:szCs w:val="22"/>
                <w:highlight w:val="none"/>
                <w:lang w:val="en-US" w:eastAsia="zh-CN" w:bidi="ar-SA"/>
              </w:rPr>
              <w:t>分;两次考核等级为A级及以上得</w:t>
            </w:r>
            <w:r>
              <w:rPr>
                <w:rFonts w:hint="default" w:ascii="仿宋" w:hAnsi="仿宋" w:eastAsia="仿宋" w:cs="仿宋"/>
                <w:color w:val="000000"/>
                <w:kern w:val="0"/>
                <w:sz w:val="24"/>
                <w:szCs w:val="22"/>
                <w:highlight w:val="none"/>
                <w:lang w:val="en" w:eastAsia="zh-CN" w:bidi="ar-SA"/>
              </w:rPr>
              <w:t>3</w:t>
            </w:r>
            <w:r>
              <w:rPr>
                <w:rFonts w:hint="eastAsia" w:ascii="仿宋" w:hAnsi="仿宋" w:eastAsia="仿宋" w:cs="仿宋"/>
                <w:color w:val="000000"/>
                <w:kern w:val="0"/>
                <w:sz w:val="24"/>
                <w:szCs w:val="22"/>
                <w:highlight w:val="none"/>
                <w:lang w:val="en-US" w:eastAsia="zh-CN" w:bidi="ar-SA"/>
              </w:rPr>
              <w:t>分，未提供考核结果或有一次等级等于或低于B级得0分。</w:t>
            </w:r>
          </w:p>
        </w:tc>
        <w:tc>
          <w:tcPr>
            <w:tcW w:w="945" w:type="dxa"/>
            <w:shd w:val="clear" w:color="auto" w:fill="auto"/>
            <w:noWrap w:val="0"/>
            <w:vAlign w:val="center"/>
          </w:tcPr>
          <w:p w14:paraId="1E7E5786">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leftChars="0" w:right="0" w:rightChars="0"/>
              <w:jc w:val="center"/>
              <w:textAlignment w:val="auto"/>
              <w:rPr>
                <w:rFonts w:hint="default" w:ascii="仿宋" w:hAnsi="仿宋" w:eastAsia="仿宋" w:cs="仿宋"/>
                <w:color w:val="auto"/>
                <w:kern w:val="2"/>
                <w:sz w:val="24"/>
                <w:szCs w:val="24"/>
                <w:highlight w:val="none"/>
                <w:lang w:val="en" w:eastAsia="zh-CN" w:bidi="ar-SA"/>
              </w:rPr>
            </w:pPr>
            <w:r>
              <w:rPr>
                <w:rFonts w:hint="default" w:ascii="仿宋" w:hAnsi="仿宋" w:eastAsia="仿宋" w:cs="仿宋"/>
                <w:color w:val="auto"/>
                <w:kern w:val="2"/>
                <w:sz w:val="24"/>
                <w:szCs w:val="24"/>
                <w:highlight w:val="none"/>
                <w:lang w:val="en" w:eastAsia="zh-CN" w:bidi="ar-SA"/>
              </w:rPr>
              <w:t>5</w:t>
            </w:r>
          </w:p>
        </w:tc>
        <w:tc>
          <w:tcPr>
            <w:tcW w:w="1095" w:type="dxa"/>
            <w:shd w:val="clear" w:color="auto" w:fill="auto"/>
            <w:noWrap w:val="0"/>
            <w:vAlign w:val="center"/>
          </w:tcPr>
          <w:p w14:paraId="29430AEA">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leftChars="0" w:right="0" w:rightChars="0"/>
              <w:jc w:val="center"/>
              <w:textAlignment w:val="auto"/>
              <w:rPr>
                <w:rFonts w:hint="eastAsia" w:ascii="仿宋" w:hAnsi="仿宋" w:eastAsia="仿宋" w:cs="仿宋"/>
                <w:color w:val="auto"/>
                <w:kern w:val="2"/>
                <w:sz w:val="24"/>
                <w:szCs w:val="24"/>
                <w:highlight w:val="none"/>
                <w:lang w:val="en-US" w:eastAsia="zh-CN" w:bidi="ar-SA"/>
              </w:rPr>
            </w:pPr>
          </w:p>
        </w:tc>
      </w:tr>
      <w:tr w14:paraId="48042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7847" w:type="dxa"/>
            <w:gridSpan w:val="2"/>
            <w:noWrap w:val="0"/>
            <w:vAlign w:val="center"/>
          </w:tcPr>
          <w:p w14:paraId="56074529">
            <w:pPr>
              <w:widowControl/>
              <w:spacing w:line="400" w:lineRule="exact"/>
              <w:jc w:val="right"/>
              <w:rPr>
                <w:rFonts w:hint="default"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满分</w:t>
            </w:r>
          </w:p>
        </w:tc>
        <w:tc>
          <w:tcPr>
            <w:tcW w:w="945" w:type="dxa"/>
            <w:shd w:val="clear" w:color="auto" w:fill="auto"/>
            <w:noWrap w:val="0"/>
            <w:vAlign w:val="center"/>
          </w:tcPr>
          <w:p w14:paraId="08AF13D8">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leftChars="0" w:right="0" w:rightChars="0"/>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100</w:t>
            </w:r>
          </w:p>
        </w:tc>
        <w:tc>
          <w:tcPr>
            <w:tcW w:w="1095" w:type="dxa"/>
            <w:shd w:val="clear" w:color="auto" w:fill="auto"/>
            <w:noWrap w:val="0"/>
            <w:vAlign w:val="center"/>
          </w:tcPr>
          <w:p w14:paraId="6EFC98C4">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leftChars="0" w:right="0" w:rightChars="0"/>
              <w:jc w:val="center"/>
              <w:textAlignment w:val="auto"/>
              <w:rPr>
                <w:rFonts w:hint="eastAsia" w:ascii="仿宋" w:hAnsi="仿宋" w:eastAsia="仿宋" w:cs="仿宋"/>
                <w:color w:val="auto"/>
                <w:kern w:val="2"/>
                <w:sz w:val="24"/>
                <w:szCs w:val="24"/>
                <w:highlight w:val="none"/>
                <w:lang w:val="en-US" w:eastAsia="zh-CN" w:bidi="ar-SA"/>
              </w:rPr>
            </w:pPr>
          </w:p>
        </w:tc>
      </w:tr>
    </w:tbl>
    <w:p w14:paraId="3503685C">
      <w:pPr>
        <w:rPr>
          <w:rFonts w:hint="eastAsia"/>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sans-serif">
    <w:altName w:val="微软雅黑"/>
    <w:panose1 w:val="00000000000000000000"/>
    <w:charset w:val="00"/>
    <w:family w:val="auto"/>
    <w:pitch w:val="default"/>
    <w:sig w:usb0="00000000" w:usb1="00000000" w:usb2="00000000"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DF3C32"/>
    <w:multiLevelType w:val="singleLevel"/>
    <w:tmpl w:val="FDDF3C3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5C33C9"/>
    <w:rsid w:val="0D7D1F4E"/>
    <w:rsid w:val="3EAB0813"/>
    <w:rsid w:val="5BDEF9A9"/>
    <w:rsid w:val="76E3FD00"/>
    <w:rsid w:val="777FCAD8"/>
    <w:rsid w:val="784E6C9B"/>
    <w:rsid w:val="7DF13BC1"/>
    <w:rsid w:val="FBDDB056"/>
    <w:rsid w:val="FCA773F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 w:type="paragraph" w:customStyle="1" w:styleId="7">
    <w:name w:val="Char Char Char Char Char Char Char1"/>
    <w:basedOn w:val="1"/>
    <w:qFormat/>
    <w:uiPriority w:val="0"/>
    <w:rPr>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1068</Words>
  <Characters>1125</Characters>
  <Lines>0</Lines>
  <Paragraphs>0</Paragraphs>
  <TotalTime>2</TotalTime>
  <ScaleCrop>false</ScaleCrop>
  <LinksUpToDate>false</LinksUpToDate>
  <CharactersWithSpaces>1126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2014-10-31T04:08:00Z</dcterms:created>
  <dc:creator>Administrator</dc:creator>
  <cp:lastModifiedBy>郑杰</cp:lastModifiedBy>
  <dcterms:modified xsi:type="dcterms:W3CDTF">2026-11-05T09:10:26Z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eyJoZGlkIjoiYmYxNWFiMjQzM2U5ZmI4ZDFhMjM0ZTJlMzE5YTMzZDYiLCJ1c2VySWQiOiI0NTg1MDAwMzQifQ==</vt:lpwstr>
  </property>
  <property fmtid="{D5CDD505-2E9C-101B-9397-08002B2CF9AE}" pid="4" name="ICV">
    <vt:lpwstr>6A786FB569E24462962E8E3903DE247B_13</vt:lpwstr>
  </property>
</Properties>
</file>