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1BB3F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1F2329"/>
          <w:sz w:val="36"/>
          <w:szCs w:val="36"/>
        </w:rPr>
      </w:pPr>
      <w:bookmarkStart w:id="0" w:name="_GoBack"/>
      <w:r>
        <w:rPr>
          <w:rFonts w:hint="eastAsia"/>
          <w:color w:val="1F2329"/>
          <w:sz w:val="36"/>
          <w:szCs w:val="36"/>
          <w:lang w:eastAsia="zh-CN"/>
        </w:rPr>
        <w:t>阶梯会议室座椅</w:t>
      </w:r>
      <w:r>
        <w:rPr>
          <w:color w:val="1F2329"/>
          <w:sz w:val="36"/>
          <w:szCs w:val="36"/>
        </w:rPr>
        <w:t>采购项目招标文件</w:t>
      </w:r>
    </w:p>
    <w:bookmarkEnd w:id="0"/>
    <w:p w14:paraId="4E27C4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1F2329"/>
          <w:sz w:val="32"/>
          <w:szCs w:val="32"/>
        </w:rPr>
      </w:pPr>
      <w:r>
        <w:rPr>
          <w:color w:val="1F2329"/>
          <w:sz w:val="32"/>
          <w:szCs w:val="32"/>
        </w:rPr>
        <w:t>第一章 招标公告</w:t>
      </w:r>
    </w:p>
    <w:p w14:paraId="4EE1B4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1.1 项目基本信息</w:t>
      </w:r>
    </w:p>
    <w:p w14:paraId="49D345E1">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rStyle w:val="10"/>
          <w:b/>
          <w:bCs/>
          <w:color w:val="1F2329"/>
          <w:sz w:val="24"/>
          <w:szCs w:val="24"/>
        </w:rPr>
        <w:t>项目名称</w:t>
      </w:r>
      <w:r>
        <w:rPr>
          <w:color w:val="1F2329"/>
          <w:sz w:val="24"/>
          <w:szCs w:val="24"/>
        </w:rPr>
        <w:t>：厦门医学院附属口腔医院</w:t>
      </w:r>
      <w:r>
        <w:rPr>
          <w:rFonts w:hint="eastAsia"/>
          <w:color w:val="1F2329"/>
          <w:sz w:val="24"/>
          <w:szCs w:val="24"/>
          <w:lang w:eastAsia="zh-CN"/>
        </w:rPr>
        <w:t>阶梯会议室座椅</w:t>
      </w:r>
      <w:r>
        <w:rPr>
          <w:color w:val="1F2329"/>
          <w:sz w:val="24"/>
          <w:szCs w:val="24"/>
        </w:rPr>
        <w:t>采购及安装项目</w:t>
      </w:r>
    </w:p>
    <w:p w14:paraId="4EFCEB69">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rStyle w:val="10"/>
          <w:b/>
          <w:bCs/>
          <w:color w:val="1F2329"/>
          <w:sz w:val="24"/>
          <w:szCs w:val="24"/>
        </w:rPr>
        <w:t>招标人</w:t>
      </w:r>
      <w:r>
        <w:rPr>
          <w:color w:val="1F2329"/>
          <w:sz w:val="24"/>
          <w:szCs w:val="24"/>
        </w:rPr>
        <w:t>：厦门医学院附属口腔医院</w:t>
      </w:r>
    </w:p>
    <w:p w14:paraId="1DD7F7A2">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rStyle w:val="10"/>
          <w:rFonts w:hint="eastAsia"/>
          <w:b/>
          <w:bCs/>
          <w:color w:val="1F2329"/>
          <w:sz w:val="24"/>
          <w:szCs w:val="24"/>
          <w:lang w:val="en-US" w:eastAsia="zh-CN"/>
        </w:rPr>
        <w:t>最高限价</w:t>
      </w:r>
      <w:r>
        <w:rPr>
          <w:color w:val="1F2329"/>
          <w:sz w:val="24"/>
          <w:szCs w:val="24"/>
        </w:rPr>
        <w:t>：</w:t>
      </w:r>
      <w:r>
        <w:rPr>
          <w:rFonts w:hint="eastAsia"/>
          <w:color w:val="1F2329"/>
          <w:sz w:val="24"/>
          <w:szCs w:val="24"/>
          <w:lang w:val="en-US" w:eastAsia="zh-CN"/>
        </w:rPr>
        <w:t>9.8万</w:t>
      </w:r>
    </w:p>
    <w:p w14:paraId="1AAA0DA5">
      <w:pPr>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rStyle w:val="10"/>
          <w:b/>
          <w:bCs/>
          <w:color w:val="1F2329"/>
          <w:sz w:val="24"/>
          <w:szCs w:val="24"/>
        </w:rPr>
        <w:t>招标内容</w:t>
      </w:r>
      <w:r>
        <w:rPr>
          <w:color w:val="1F2329"/>
          <w:sz w:val="24"/>
          <w:szCs w:val="24"/>
        </w:rPr>
        <w:t>：</w:t>
      </w:r>
      <w:r>
        <w:rPr>
          <w:rFonts w:hint="eastAsia"/>
          <w:color w:val="1F2329"/>
          <w:sz w:val="24"/>
          <w:szCs w:val="24"/>
          <w:lang w:eastAsia="zh-CN"/>
        </w:rPr>
        <w:t>会议室座椅</w:t>
      </w:r>
      <w:r>
        <w:rPr>
          <w:color w:val="1F2329"/>
          <w:sz w:val="24"/>
          <w:szCs w:val="24"/>
        </w:rPr>
        <w:t>采购及安装，具体要求详见招标文件技术参数部分</w:t>
      </w:r>
    </w:p>
    <w:p w14:paraId="0713568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1.2 招标货物数量及规格</w:t>
      </w:r>
    </w:p>
    <w:tbl>
      <w:tblPr>
        <w:tblStyle w:val="8"/>
        <w:tblW w:w="8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856"/>
        <w:gridCol w:w="457"/>
        <w:gridCol w:w="576"/>
        <w:gridCol w:w="5247"/>
        <w:gridCol w:w="871"/>
      </w:tblGrid>
      <w:tr w14:paraId="08077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dxa"/>
            <w:shd w:val="clear" w:color="auto" w:fill="auto"/>
            <w:vAlign w:val="center"/>
          </w:tcPr>
          <w:p w14:paraId="5087A86F">
            <w:pPr>
              <w:keepNext w:val="0"/>
              <w:keepLines w:val="0"/>
              <w:widowControl/>
              <w:suppressLineNumbers w:val="0"/>
              <w:spacing w:before="0" w:beforeAutospacing="0" w:after="0" w:afterAutospacing="0" w:line="360" w:lineRule="atLeast"/>
              <w:ind w:left="0" w:leftChars="0" w:right="0" w:rightChars="0"/>
              <w:jc w:val="center"/>
              <w:rPr>
                <w:rFonts w:asciiTheme="minorHAnsi" w:hAnsiTheme="minorHAnsi" w:eastAsiaTheme="minorEastAsia" w:cstheme="minorBidi"/>
                <w:b/>
                <w:bCs/>
                <w:color w:val="1F2329"/>
                <w:kern w:val="2"/>
                <w:sz w:val="24"/>
                <w:szCs w:val="24"/>
                <w:lang w:val="en-US" w:eastAsia="zh-CN" w:bidi="ar-SA"/>
              </w:rPr>
            </w:pPr>
            <w:r>
              <w:rPr>
                <w:rFonts w:ascii="宋体" w:hAnsi="宋体" w:eastAsia="宋体" w:cs="宋体"/>
                <w:b/>
                <w:bCs/>
                <w:color w:val="1F2329"/>
                <w:kern w:val="0"/>
                <w:sz w:val="24"/>
                <w:szCs w:val="24"/>
                <w:lang w:val="en-US" w:eastAsia="zh-CN" w:bidi="ar"/>
              </w:rPr>
              <w:t>序号</w:t>
            </w:r>
          </w:p>
        </w:tc>
        <w:tc>
          <w:tcPr>
            <w:tcW w:w="856" w:type="dxa"/>
            <w:shd w:val="clear" w:color="auto" w:fill="auto"/>
            <w:vAlign w:val="center"/>
          </w:tcPr>
          <w:p w14:paraId="631B69EF">
            <w:pPr>
              <w:keepNext w:val="0"/>
              <w:keepLines w:val="0"/>
              <w:widowControl/>
              <w:suppressLineNumbers w:val="0"/>
              <w:spacing w:before="0" w:beforeAutospacing="0" w:after="0" w:afterAutospacing="0" w:line="360" w:lineRule="atLeast"/>
              <w:ind w:left="0" w:leftChars="0" w:right="0" w:rightChars="0"/>
              <w:jc w:val="center"/>
              <w:rPr>
                <w:rFonts w:asciiTheme="minorHAnsi" w:hAnsiTheme="minorHAnsi" w:eastAsiaTheme="minorEastAsia" w:cstheme="minorBidi"/>
                <w:b/>
                <w:bCs/>
                <w:color w:val="1F2329"/>
                <w:kern w:val="2"/>
                <w:sz w:val="24"/>
                <w:szCs w:val="24"/>
                <w:lang w:val="en-US" w:eastAsia="zh-CN" w:bidi="ar-SA"/>
              </w:rPr>
            </w:pPr>
            <w:r>
              <w:rPr>
                <w:rFonts w:ascii="宋体" w:hAnsi="宋体" w:eastAsia="宋体" w:cs="宋体"/>
                <w:b/>
                <w:bCs/>
                <w:color w:val="1F2329"/>
                <w:kern w:val="0"/>
                <w:sz w:val="24"/>
                <w:szCs w:val="24"/>
                <w:lang w:val="en-US" w:eastAsia="zh-CN" w:bidi="ar"/>
              </w:rPr>
              <w:t>货物名称</w:t>
            </w:r>
          </w:p>
        </w:tc>
        <w:tc>
          <w:tcPr>
            <w:tcW w:w="457" w:type="dxa"/>
            <w:shd w:val="clear" w:color="auto" w:fill="auto"/>
            <w:vAlign w:val="center"/>
          </w:tcPr>
          <w:p w14:paraId="29F44EC2">
            <w:pPr>
              <w:keepNext w:val="0"/>
              <w:keepLines w:val="0"/>
              <w:widowControl/>
              <w:suppressLineNumbers w:val="0"/>
              <w:spacing w:before="0" w:beforeAutospacing="0" w:after="0" w:afterAutospacing="0" w:line="360" w:lineRule="atLeast"/>
              <w:ind w:left="0" w:leftChars="0" w:right="0" w:rightChars="0"/>
              <w:jc w:val="center"/>
              <w:rPr>
                <w:rFonts w:asciiTheme="minorHAnsi" w:hAnsiTheme="minorHAnsi" w:eastAsiaTheme="minorEastAsia" w:cstheme="minorBidi"/>
                <w:b/>
                <w:bCs/>
                <w:color w:val="1F2329"/>
                <w:kern w:val="2"/>
                <w:sz w:val="24"/>
                <w:szCs w:val="24"/>
                <w:lang w:val="en-US" w:eastAsia="zh-CN" w:bidi="ar-SA"/>
              </w:rPr>
            </w:pPr>
            <w:r>
              <w:rPr>
                <w:rFonts w:ascii="宋体" w:hAnsi="宋体" w:eastAsia="宋体" w:cs="宋体"/>
                <w:b/>
                <w:bCs/>
                <w:color w:val="1F2329"/>
                <w:kern w:val="0"/>
                <w:sz w:val="24"/>
                <w:szCs w:val="24"/>
                <w:lang w:val="en-US" w:eastAsia="zh-CN" w:bidi="ar"/>
              </w:rPr>
              <w:t>单位</w:t>
            </w:r>
          </w:p>
        </w:tc>
        <w:tc>
          <w:tcPr>
            <w:tcW w:w="576" w:type="dxa"/>
            <w:shd w:val="clear" w:color="auto" w:fill="auto"/>
            <w:vAlign w:val="center"/>
          </w:tcPr>
          <w:p w14:paraId="7919FCF9">
            <w:pPr>
              <w:keepNext w:val="0"/>
              <w:keepLines w:val="0"/>
              <w:widowControl/>
              <w:suppressLineNumbers w:val="0"/>
              <w:spacing w:before="0" w:beforeAutospacing="0" w:after="0" w:afterAutospacing="0" w:line="360" w:lineRule="atLeast"/>
              <w:ind w:left="0" w:leftChars="0" w:right="0" w:rightChars="0"/>
              <w:jc w:val="center"/>
              <w:rPr>
                <w:rFonts w:asciiTheme="minorHAnsi" w:hAnsiTheme="minorHAnsi" w:eastAsiaTheme="minorEastAsia" w:cstheme="minorBidi"/>
                <w:b/>
                <w:bCs/>
                <w:color w:val="1F2329"/>
                <w:kern w:val="2"/>
                <w:sz w:val="24"/>
                <w:szCs w:val="24"/>
                <w:lang w:val="en-US" w:eastAsia="zh-CN" w:bidi="ar-SA"/>
              </w:rPr>
            </w:pPr>
            <w:r>
              <w:rPr>
                <w:rFonts w:ascii="宋体" w:hAnsi="宋体" w:eastAsia="宋体" w:cs="宋体"/>
                <w:b/>
                <w:bCs/>
                <w:color w:val="1F2329"/>
                <w:kern w:val="0"/>
                <w:sz w:val="24"/>
                <w:szCs w:val="24"/>
                <w:lang w:val="en-US" w:eastAsia="zh-CN" w:bidi="ar"/>
              </w:rPr>
              <w:t>数量</w:t>
            </w:r>
          </w:p>
        </w:tc>
        <w:tc>
          <w:tcPr>
            <w:tcW w:w="5247" w:type="dxa"/>
            <w:shd w:val="clear" w:color="auto" w:fill="auto"/>
            <w:vAlign w:val="center"/>
          </w:tcPr>
          <w:p w14:paraId="3D86826D">
            <w:pPr>
              <w:keepNext w:val="0"/>
              <w:keepLines w:val="0"/>
              <w:widowControl/>
              <w:suppressLineNumbers w:val="0"/>
              <w:spacing w:before="0" w:beforeAutospacing="0" w:after="0" w:afterAutospacing="0" w:line="360" w:lineRule="atLeast"/>
              <w:ind w:left="0" w:leftChars="0" w:right="0" w:rightChars="0"/>
              <w:jc w:val="center"/>
              <w:rPr>
                <w:rFonts w:asciiTheme="minorHAnsi" w:hAnsiTheme="minorHAnsi" w:eastAsiaTheme="minorEastAsia" w:cstheme="minorBidi"/>
                <w:b/>
                <w:bCs/>
                <w:color w:val="1F2329"/>
                <w:kern w:val="2"/>
                <w:sz w:val="24"/>
                <w:szCs w:val="24"/>
                <w:lang w:val="en-US" w:eastAsia="zh-CN" w:bidi="ar-SA"/>
              </w:rPr>
            </w:pPr>
            <w:r>
              <w:rPr>
                <w:rFonts w:ascii="宋体" w:hAnsi="宋体" w:eastAsia="宋体" w:cs="宋体"/>
                <w:b/>
                <w:bCs/>
                <w:color w:val="1F2329"/>
                <w:kern w:val="0"/>
                <w:sz w:val="24"/>
                <w:szCs w:val="24"/>
                <w:lang w:val="en-US" w:eastAsia="zh-CN" w:bidi="ar"/>
              </w:rPr>
              <w:t>主要规格</w:t>
            </w:r>
          </w:p>
        </w:tc>
        <w:tc>
          <w:tcPr>
            <w:tcW w:w="871" w:type="dxa"/>
            <w:shd w:val="clear" w:color="auto" w:fill="auto"/>
            <w:vAlign w:val="center"/>
          </w:tcPr>
          <w:p w14:paraId="76A3982E">
            <w:pPr>
              <w:keepNext w:val="0"/>
              <w:keepLines w:val="0"/>
              <w:widowControl/>
              <w:suppressLineNumbers w:val="0"/>
              <w:spacing w:before="0" w:beforeAutospacing="0" w:after="0" w:afterAutospacing="0" w:line="360" w:lineRule="atLeast"/>
              <w:ind w:left="0" w:leftChars="0" w:right="0" w:rightChars="0"/>
              <w:jc w:val="center"/>
              <w:rPr>
                <w:rFonts w:asciiTheme="minorHAnsi" w:hAnsiTheme="minorHAnsi" w:eastAsiaTheme="minorEastAsia" w:cstheme="minorBidi"/>
                <w:b/>
                <w:bCs/>
                <w:color w:val="1F2329"/>
                <w:kern w:val="2"/>
                <w:sz w:val="24"/>
                <w:szCs w:val="24"/>
                <w:lang w:val="en-US" w:eastAsia="zh-CN" w:bidi="ar-SA"/>
              </w:rPr>
            </w:pPr>
            <w:r>
              <w:rPr>
                <w:rFonts w:ascii="宋体" w:hAnsi="宋体" w:eastAsia="宋体" w:cs="宋体"/>
                <w:b/>
                <w:bCs/>
                <w:color w:val="1F2329"/>
                <w:kern w:val="0"/>
                <w:sz w:val="24"/>
                <w:szCs w:val="24"/>
                <w:lang w:val="en-US" w:eastAsia="zh-CN" w:bidi="ar"/>
              </w:rPr>
              <w:t>备注</w:t>
            </w:r>
          </w:p>
        </w:tc>
      </w:tr>
      <w:tr w14:paraId="263FC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dxa"/>
            <w:shd w:val="clear" w:color="auto" w:fill="auto"/>
            <w:vAlign w:val="center"/>
          </w:tcPr>
          <w:p w14:paraId="3FB72011">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1F2329"/>
                <w:kern w:val="2"/>
                <w:sz w:val="24"/>
                <w:szCs w:val="24"/>
                <w:lang w:val="en-US" w:eastAsia="zh-CN" w:bidi="ar-SA"/>
              </w:rPr>
            </w:pPr>
            <w:r>
              <w:rPr>
                <w:rFonts w:ascii="宋体" w:hAnsi="宋体" w:eastAsia="宋体" w:cs="宋体"/>
                <w:color w:val="1F2329"/>
                <w:kern w:val="0"/>
                <w:sz w:val="24"/>
                <w:szCs w:val="24"/>
                <w:lang w:val="en-US" w:eastAsia="zh-CN" w:bidi="ar"/>
              </w:rPr>
              <w:t>1</w:t>
            </w:r>
          </w:p>
        </w:tc>
        <w:tc>
          <w:tcPr>
            <w:tcW w:w="856" w:type="dxa"/>
            <w:shd w:val="clear" w:color="auto" w:fill="auto"/>
            <w:vAlign w:val="center"/>
          </w:tcPr>
          <w:p w14:paraId="48774535">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1F2329"/>
                <w:kern w:val="2"/>
                <w:sz w:val="24"/>
                <w:szCs w:val="24"/>
                <w:lang w:val="en-US" w:eastAsia="zh-CN" w:bidi="ar-SA"/>
              </w:rPr>
            </w:pPr>
            <w:r>
              <w:rPr>
                <w:rFonts w:hint="eastAsia" w:ascii="宋体" w:hAnsi="宋体" w:eastAsia="宋体" w:cs="宋体"/>
                <w:color w:val="1F2329"/>
                <w:kern w:val="0"/>
                <w:sz w:val="24"/>
                <w:szCs w:val="24"/>
                <w:lang w:val="en-US" w:eastAsia="zh-CN" w:bidi="ar"/>
              </w:rPr>
              <w:t>会议室座椅</w:t>
            </w:r>
          </w:p>
        </w:tc>
        <w:tc>
          <w:tcPr>
            <w:tcW w:w="457" w:type="dxa"/>
            <w:shd w:val="clear" w:color="auto" w:fill="auto"/>
            <w:vAlign w:val="center"/>
          </w:tcPr>
          <w:p w14:paraId="11D37F48">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1F2329"/>
                <w:kern w:val="2"/>
                <w:sz w:val="24"/>
                <w:szCs w:val="24"/>
                <w:lang w:val="en-US" w:eastAsia="zh-CN" w:bidi="ar-SA"/>
              </w:rPr>
            </w:pPr>
            <w:r>
              <w:rPr>
                <w:rFonts w:ascii="宋体" w:hAnsi="宋体" w:eastAsia="宋体" w:cs="宋体"/>
                <w:color w:val="1F2329"/>
                <w:kern w:val="0"/>
                <w:sz w:val="24"/>
                <w:szCs w:val="24"/>
                <w:lang w:val="en-US" w:eastAsia="zh-CN" w:bidi="ar"/>
              </w:rPr>
              <w:t>座</w:t>
            </w:r>
          </w:p>
        </w:tc>
        <w:tc>
          <w:tcPr>
            <w:tcW w:w="576" w:type="dxa"/>
            <w:shd w:val="clear" w:color="auto" w:fill="auto"/>
            <w:vAlign w:val="center"/>
          </w:tcPr>
          <w:p w14:paraId="70C91F16">
            <w:pPr>
              <w:keepNext w:val="0"/>
              <w:keepLines w:val="0"/>
              <w:widowControl/>
              <w:suppressLineNumbers w:val="0"/>
              <w:spacing w:before="0" w:beforeAutospacing="0" w:after="0" w:afterAutospacing="0" w:line="360" w:lineRule="atLeast"/>
              <w:ind w:left="0" w:leftChars="0" w:right="0" w:rightChars="0"/>
              <w:jc w:val="left"/>
              <w:rPr>
                <w:rFonts w:hint="default" w:asciiTheme="minorHAnsi" w:hAnsiTheme="minorHAnsi" w:eastAsiaTheme="minorEastAsia" w:cstheme="minorBidi"/>
                <w:color w:val="1F2329"/>
                <w:kern w:val="2"/>
                <w:sz w:val="24"/>
                <w:szCs w:val="24"/>
                <w:lang w:val="en-US" w:eastAsia="zh-CN" w:bidi="ar-SA"/>
              </w:rPr>
            </w:pPr>
            <w:r>
              <w:rPr>
                <w:rFonts w:ascii="宋体" w:hAnsi="宋体" w:eastAsia="宋体" w:cs="宋体"/>
                <w:color w:val="1F2329"/>
                <w:kern w:val="0"/>
                <w:sz w:val="24"/>
                <w:szCs w:val="24"/>
                <w:lang w:val="en-US" w:eastAsia="zh-CN" w:bidi="ar"/>
              </w:rPr>
              <w:t>10</w:t>
            </w:r>
            <w:r>
              <w:rPr>
                <w:rFonts w:hint="eastAsia" w:ascii="宋体" w:hAnsi="宋体" w:eastAsia="宋体" w:cs="宋体"/>
                <w:color w:val="1F2329"/>
                <w:kern w:val="0"/>
                <w:sz w:val="24"/>
                <w:szCs w:val="24"/>
                <w:lang w:val="en-US" w:eastAsia="zh-CN" w:bidi="ar"/>
              </w:rPr>
              <w:t>0</w:t>
            </w:r>
          </w:p>
        </w:tc>
        <w:tc>
          <w:tcPr>
            <w:tcW w:w="5247" w:type="dxa"/>
            <w:shd w:val="clear" w:color="auto" w:fill="auto"/>
            <w:vAlign w:val="center"/>
          </w:tcPr>
          <w:p w14:paraId="5947CC97">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1F2329"/>
                <w:kern w:val="2"/>
                <w:sz w:val="24"/>
                <w:szCs w:val="24"/>
                <w:lang w:val="en-US" w:eastAsia="zh-CN" w:bidi="ar-SA"/>
              </w:rPr>
            </w:pPr>
            <w:r>
              <w:rPr>
                <w:rFonts w:ascii="宋体" w:hAnsi="宋体" w:eastAsia="宋体" w:cs="宋体"/>
                <w:color w:val="1F2329"/>
                <w:kern w:val="0"/>
                <w:sz w:val="24"/>
                <w:szCs w:val="24"/>
                <w:lang w:val="en-US" w:eastAsia="zh-CN" w:bidi="ar"/>
              </w:rPr>
              <w:t>座椅基本中心距 540±5mm，座包打开深度 440±5mm，基本椅高 930±5mm</w:t>
            </w:r>
          </w:p>
        </w:tc>
        <w:tc>
          <w:tcPr>
            <w:tcW w:w="871" w:type="dxa"/>
            <w:shd w:val="clear" w:color="auto" w:fill="auto"/>
            <w:vAlign w:val="center"/>
          </w:tcPr>
          <w:p w14:paraId="076F536E">
            <w:pPr>
              <w:keepNext w:val="0"/>
              <w:keepLines w:val="0"/>
              <w:widowControl/>
              <w:suppressLineNumbers w:val="0"/>
              <w:spacing w:before="0" w:beforeAutospacing="0" w:after="0" w:afterAutospacing="0" w:line="360" w:lineRule="atLeast"/>
              <w:ind w:left="0" w:leftChars="0" w:right="0" w:rightChars="0"/>
              <w:jc w:val="left"/>
              <w:rPr>
                <w:rFonts w:asciiTheme="minorHAnsi" w:hAnsiTheme="minorHAnsi" w:eastAsiaTheme="minorEastAsia" w:cstheme="minorBidi"/>
                <w:color w:val="1F2329"/>
                <w:kern w:val="2"/>
                <w:sz w:val="24"/>
                <w:szCs w:val="24"/>
                <w:lang w:val="en-US" w:eastAsia="zh-CN" w:bidi="ar-SA"/>
              </w:rPr>
            </w:pPr>
            <w:r>
              <w:rPr>
                <w:rFonts w:ascii="宋体" w:hAnsi="宋体" w:eastAsia="宋体" w:cs="宋体"/>
                <w:color w:val="1F2329"/>
                <w:kern w:val="0"/>
                <w:sz w:val="24"/>
                <w:szCs w:val="24"/>
                <w:lang w:val="en-US" w:eastAsia="zh-CN" w:bidi="ar"/>
              </w:rPr>
              <w:t>含安装服务</w:t>
            </w:r>
          </w:p>
        </w:tc>
      </w:tr>
    </w:tbl>
    <w:p w14:paraId="062777B6"/>
    <w:p w14:paraId="4D57BC4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1.3 投标人资格要求</w:t>
      </w:r>
    </w:p>
    <w:p w14:paraId="618BF008">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具有独立法人资格，能够独立承担民事责任的企业或其他组织；</w:t>
      </w:r>
    </w:p>
    <w:p w14:paraId="7D4FDBDA">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具有有效的营业执照，经营范围包含家具生产或销售相关内容；</w:t>
      </w:r>
    </w:p>
    <w:p w14:paraId="7C9E14A9">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具有良好的商业信誉和健全的财务会计制度；</w:t>
      </w:r>
    </w:p>
    <w:p w14:paraId="608EF3CE">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具有履行合同所必需的设备和专业技术能力；</w:t>
      </w:r>
    </w:p>
    <w:p w14:paraId="5DAEFBAA">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近三年内，在经营活动中没有重大违法记录；</w:t>
      </w:r>
    </w:p>
    <w:p w14:paraId="2DA8B14C">
      <w:pPr>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本项目不接受联合体投标。</w:t>
      </w:r>
    </w:p>
    <w:p w14:paraId="3E9D71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1F2329"/>
          <w:sz w:val="32"/>
          <w:szCs w:val="32"/>
        </w:rPr>
      </w:pPr>
      <w:r>
        <w:rPr>
          <w:color w:val="1F2329"/>
          <w:sz w:val="32"/>
          <w:szCs w:val="32"/>
        </w:rPr>
        <w:t>第二章 投标人须知</w:t>
      </w:r>
    </w:p>
    <w:p w14:paraId="50228F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2.1 投标费用</w:t>
      </w:r>
    </w:p>
    <w:p w14:paraId="6FF862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1F2329"/>
          <w:sz w:val="24"/>
          <w:szCs w:val="24"/>
        </w:rPr>
      </w:pPr>
      <w:r>
        <w:rPr>
          <w:rFonts w:ascii="宋体" w:hAnsi="宋体" w:eastAsia="宋体" w:cs="宋体"/>
          <w:color w:val="1F2329"/>
          <w:kern w:val="0"/>
          <w:sz w:val="24"/>
          <w:szCs w:val="24"/>
          <w:lang w:val="en-US" w:eastAsia="zh-CN" w:bidi="ar"/>
        </w:rPr>
        <w:t>投标人应自行承担所有与准备和参加投标有关的费用，不论投标的结果如何，招标人在任何情况下均无义务和责任承担这些费用。</w:t>
      </w:r>
    </w:p>
    <w:p w14:paraId="3C71E4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p>
    <w:p w14:paraId="43A9EB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1F2329"/>
          <w:sz w:val="32"/>
          <w:szCs w:val="32"/>
        </w:rPr>
      </w:pPr>
      <w:r>
        <w:rPr>
          <w:color w:val="1F2329"/>
          <w:sz w:val="32"/>
          <w:szCs w:val="32"/>
        </w:rPr>
        <w:t>第三章 技术参数及要求</w:t>
      </w:r>
    </w:p>
    <w:p w14:paraId="0B7C912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3.1 总体要求</w:t>
      </w:r>
    </w:p>
    <w:p w14:paraId="0656066D">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本次采购的</w:t>
      </w:r>
      <w:r>
        <w:rPr>
          <w:rFonts w:hint="eastAsia"/>
          <w:color w:val="1F2329"/>
          <w:sz w:val="24"/>
          <w:szCs w:val="24"/>
          <w:lang w:eastAsia="zh-CN"/>
        </w:rPr>
        <w:t>会议室座椅</w:t>
      </w:r>
      <w:r>
        <w:rPr>
          <w:color w:val="1F2329"/>
          <w:sz w:val="24"/>
          <w:szCs w:val="24"/>
        </w:rPr>
        <w:t>需满足厦门医学院附属口腔医院报告厅使用需求，符合国家相关标准和规范；</w:t>
      </w:r>
    </w:p>
    <w:p w14:paraId="6D4FD77D">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所有产品必须为全新、未使用过的合格产品，不得提供二手或翻新产品；</w:t>
      </w:r>
    </w:p>
    <w:p w14:paraId="51C8883D">
      <w:pPr>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产品质量需达到国家优质产品标准，通过相关质量检测认证。</w:t>
      </w:r>
    </w:p>
    <w:p w14:paraId="02B21D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3.2 详细技术参数</w:t>
      </w:r>
    </w:p>
    <w:p w14:paraId="0071F1F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3.2.1 基本尺寸要求</w:t>
      </w:r>
    </w:p>
    <w:p w14:paraId="33C872E7">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座椅基本中心距：540±5mm</w:t>
      </w:r>
    </w:p>
    <w:p w14:paraId="1E46CB35">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座包打开深度：440±5mm</w:t>
      </w:r>
    </w:p>
    <w:p w14:paraId="78AC9115">
      <w:pPr>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基本椅高：930±5mm</w:t>
      </w:r>
    </w:p>
    <w:p w14:paraId="0EF4538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3.2.2 下藏式收纳写字板要求</w:t>
      </w:r>
    </w:p>
    <w:p w14:paraId="78C19290">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写字板链接铝头、托板：采用优质铝合金材料经模具一体压铸成型</w:t>
      </w:r>
    </w:p>
    <w:p w14:paraId="3A42CB4F">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写字板面板：采用优质多层板经模具加压成型</w:t>
      </w:r>
    </w:p>
    <w:p w14:paraId="32C00F7D">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固定方式：机械原理高强度螺栓，确保链接部位越用越结实，无松弛现象</w:t>
      </w:r>
    </w:p>
    <w:p w14:paraId="196A5167">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面板尺寸：长度 298±5mm，宽度 260±5mm，厚度 12±2mm</w:t>
      </w:r>
    </w:p>
    <w:p w14:paraId="241A75F8">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倾斜角度：扶手和写字板向上倾斜 6.5 度，保证书写自然状态</w:t>
      </w:r>
    </w:p>
    <w:p w14:paraId="6A92FDC8">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功能要求：打开回收时需带消音功能，无反弹力与噪音</w:t>
      </w:r>
    </w:p>
    <w:p w14:paraId="75B02691">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3.2.3 座椅布料要求</w:t>
      </w:r>
    </w:p>
    <w:p w14:paraId="52F7882F">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材质：高级针织面料（布料种类由业主最终选择确认）</w:t>
      </w:r>
    </w:p>
    <w:p w14:paraId="33E24852">
      <w:pPr>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性能要求：渗透力强，富有弹性，经过防静电处理</w:t>
      </w:r>
    </w:p>
    <w:p w14:paraId="0DE90C0A">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3.2.4 座椅海绵要求</w:t>
      </w:r>
    </w:p>
    <w:p w14:paraId="3C45F2A2">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材质：采用高密度环保聚氨酯定型海绵原料</w:t>
      </w:r>
    </w:p>
    <w:p w14:paraId="2041E315">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生产工艺：经模具冷固发泡一体成型</w:t>
      </w:r>
    </w:p>
    <w:p w14:paraId="4A056398">
      <w:pPr>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性能要求：强度高，回弹性好，长期使用不易变形</w:t>
      </w:r>
    </w:p>
    <w:p w14:paraId="0AA4B8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3.2.5 钢材及金属部件要求</w:t>
      </w:r>
    </w:p>
    <w:p w14:paraId="338F11AC">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材质：所有钢材使用优质钢材</w:t>
      </w:r>
    </w:p>
    <w:p w14:paraId="174FCBDC">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焊接工艺：焊接件采用机器人焊接，保证焊接质量</w:t>
      </w:r>
    </w:p>
    <w:p w14:paraId="3A090C5B">
      <w:pPr>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rFonts w:hint="eastAsia"/>
          <w:color w:val="1F2329"/>
          <w:sz w:val="24"/>
          <w:szCs w:val="24"/>
          <w:lang w:val="en-US" w:eastAsia="zh-CN"/>
        </w:rPr>
      </w:pPr>
      <w:r>
        <w:rPr>
          <w:color w:val="1F2329"/>
          <w:sz w:val="24"/>
          <w:szCs w:val="24"/>
        </w:rPr>
        <w:t>扶手支架：采用冷轧板或型材冲压成型</w:t>
      </w:r>
    </w:p>
    <w:p w14:paraId="20BAF4C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3.2.6 座椅扶手盖要求</w:t>
      </w:r>
    </w:p>
    <w:p w14:paraId="20F9DBB7">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材质：优质橡胶木木材有线分割而成</w:t>
      </w:r>
    </w:p>
    <w:p w14:paraId="55C7A654">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表面处理：涂 5 层高档环保聚氨酯油漆</w:t>
      </w:r>
    </w:p>
    <w:p w14:paraId="54081AEF">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造型要求：曲线造型，不变形、不开裂</w:t>
      </w:r>
    </w:p>
    <w:p w14:paraId="441EB648">
      <w:pPr>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尺寸规格：长度 278±5mm，宽度 50±5mm，高度 41±5mm</w:t>
      </w:r>
    </w:p>
    <w:p w14:paraId="0976D4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3.</w:t>
      </w:r>
      <w:r>
        <w:rPr>
          <w:rFonts w:hint="eastAsia"/>
          <w:color w:val="1F2329"/>
          <w:sz w:val="24"/>
          <w:szCs w:val="24"/>
          <w:lang w:val="en-US" w:eastAsia="zh-CN"/>
        </w:rPr>
        <w:t>3</w:t>
      </w:r>
      <w:r>
        <w:rPr>
          <w:color w:val="1F2329"/>
          <w:sz w:val="24"/>
          <w:szCs w:val="24"/>
        </w:rPr>
        <w:t xml:space="preserve"> </w:t>
      </w:r>
      <w:r>
        <w:rPr>
          <w:rFonts w:hint="eastAsia"/>
          <w:color w:val="1F2329"/>
          <w:sz w:val="24"/>
          <w:szCs w:val="24"/>
          <w:lang w:val="en-US" w:eastAsia="zh-CN"/>
        </w:rPr>
        <w:t>样品</w:t>
      </w:r>
      <w:r>
        <w:rPr>
          <w:color w:val="1F2329"/>
          <w:sz w:val="24"/>
          <w:szCs w:val="24"/>
        </w:rPr>
        <w:t>要求</w:t>
      </w:r>
    </w:p>
    <w:p w14:paraId="5D54CEA2">
      <w:pPr>
        <w:ind w:firstLine="482" w:firstLineChars="200"/>
        <w:contextualSpacing/>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需提供【“</w:t>
      </w:r>
      <w:r>
        <w:rPr>
          <w:rFonts w:hint="eastAsia" w:ascii="宋体" w:hAnsi="宋体" w:cs="宋体"/>
          <w:b/>
          <w:bCs/>
          <w:color w:val="auto"/>
          <w:sz w:val="24"/>
          <w:szCs w:val="24"/>
          <w:highlight w:val="none"/>
          <w:lang w:val="en-US" w:eastAsia="zh-CN"/>
        </w:rPr>
        <w:t>白胚铝合金站脚”</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白胚铝合金写字板支架</w:t>
      </w:r>
      <w:r>
        <w:rPr>
          <w:rFonts w:hint="eastAsia" w:ascii="宋体" w:hAnsi="宋体" w:eastAsia="宋体" w:cs="宋体"/>
          <w:b/>
          <w:bCs/>
          <w:color w:val="auto"/>
          <w:sz w:val="24"/>
          <w:szCs w:val="24"/>
          <w:highlight w:val="none"/>
          <w:lang w:val="en-US" w:eastAsia="zh-CN"/>
        </w:rPr>
        <w:t>】实物小样</w:t>
      </w:r>
      <w:r>
        <w:rPr>
          <w:rFonts w:hint="eastAsia" w:ascii="宋体" w:hAnsi="宋体" w:cs="宋体"/>
          <w:b/>
          <w:bCs/>
          <w:color w:val="auto"/>
          <w:sz w:val="24"/>
          <w:szCs w:val="24"/>
          <w:highlight w:val="none"/>
          <w:lang w:val="en-US" w:eastAsia="zh-CN"/>
        </w:rPr>
        <w:t>各</w:t>
      </w:r>
      <w:r>
        <w:rPr>
          <w:rFonts w:hint="eastAsia" w:ascii="宋体" w:hAnsi="宋体" w:eastAsia="宋体" w:cs="宋体"/>
          <w:b/>
          <w:bCs/>
          <w:color w:val="auto"/>
          <w:sz w:val="24"/>
          <w:szCs w:val="24"/>
          <w:highlight w:val="none"/>
          <w:lang w:val="en-US" w:eastAsia="zh-CN"/>
        </w:rPr>
        <w:t>1个。（具体尺寸详见结构图，</w:t>
      </w:r>
      <w:r>
        <w:rPr>
          <w:rFonts w:hint="eastAsia" w:ascii="宋体" w:hAnsi="宋体" w:cs="宋体"/>
          <w:b/>
          <w:bCs/>
          <w:color w:val="auto"/>
          <w:kern w:val="0"/>
          <w:sz w:val="24"/>
          <w:szCs w:val="24"/>
          <w:highlight w:val="none"/>
          <w:lang w:val="en-US" w:eastAsia="zh-CN"/>
        </w:rPr>
        <w:t>未标注偏离尺寸的</w:t>
      </w:r>
      <w:r>
        <w:rPr>
          <w:rFonts w:hint="eastAsia" w:ascii="宋体" w:hAnsi="宋体" w:cs="宋体"/>
          <w:b/>
          <w:bCs/>
          <w:color w:val="auto"/>
          <w:kern w:val="0"/>
          <w:sz w:val="24"/>
          <w:szCs w:val="24"/>
          <w:highlight w:val="none"/>
        </w:rPr>
        <w:t>允许偏离±</w:t>
      </w:r>
      <w:r>
        <w:rPr>
          <w:rFonts w:hint="eastAsia" w:ascii="宋体" w:hAnsi="宋体" w:cs="宋体"/>
          <w:b/>
          <w:bCs/>
          <w:color w:val="auto"/>
          <w:kern w:val="0"/>
          <w:sz w:val="24"/>
          <w:szCs w:val="24"/>
          <w:highlight w:val="none"/>
          <w:lang w:val="en-US" w:eastAsia="zh-CN"/>
        </w:rPr>
        <w:t>5</w:t>
      </w:r>
      <w:r>
        <w:rPr>
          <w:rFonts w:hint="eastAsia" w:ascii="宋体" w:hAnsi="宋体" w:cs="宋体"/>
          <w:b/>
          <w:bCs/>
          <w:color w:val="auto"/>
          <w:kern w:val="0"/>
          <w:sz w:val="24"/>
          <w:szCs w:val="24"/>
          <w:highlight w:val="none"/>
        </w:rPr>
        <w:t>mm</w:t>
      </w: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rPr>
        <w:t>，</w:t>
      </w:r>
      <w:r>
        <w:rPr>
          <w:rFonts w:hint="eastAsia" w:ascii="宋体" w:hAnsi="宋体" w:cs="宋体"/>
          <w:b/>
          <w:bCs/>
          <w:color w:val="auto"/>
          <w:kern w:val="0"/>
          <w:sz w:val="24"/>
          <w:szCs w:val="24"/>
          <w:highlight w:val="none"/>
          <w:lang w:val="en-US" w:eastAsia="zh-CN"/>
        </w:rPr>
        <w:t>未提供样品或</w:t>
      </w:r>
      <w:r>
        <w:rPr>
          <w:rFonts w:hint="eastAsia" w:ascii="宋体" w:hAnsi="宋体" w:cs="宋体"/>
          <w:b/>
          <w:bCs/>
          <w:color w:val="auto"/>
          <w:kern w:val="0"/>
          <w:sz w:val="24"/>
          <w:szCs w:val="24"/>
          <w:highlight w:val="none"/>
        </w:rPr>
        <w:t>提供的样品不齐全</w:t>
      </w:r>
      <w:r>
        <w:rPr>
          <w:rFonts w:hint="eastAsia" w:ascii="Times New Roman" w:hAnsi="Times New Roman" w:eastAsia="宋体" w:cs="宋体"/>
          <w:b/>
          <w:bCs/>
          <w:color w:val="auto"/>
          <w:kern w:val="2"/>
          <w:sz w:val="24"/>
          <w:szCs w:val="24"/>
          <w:highlight w:val="none"/>
          <w:lang w:val="en-US" w:eastAsia="zh-CN" w:bidi="ar-SA"/>
        </w:rPr>
        <w:t>或不符合</w:t>
      </w:r>
      <w:r>
        <w:rPr>
          <w:rFonts w:hint="eastAsia" w:cs="宋体"/>
          <w:b/>
          <w:bCs/>
          <w:color w:val="auto"/>
          <w:kern w:val="2"/>
          <w:sz w:val="24"/>
          <w:szCs w:val="24"/>
          <w:highlight w:val="none"/>
          <w:lang w:val="en-US" w:eastAsia="zh-CN" w:bidi="ar-SA"/>
        </w:rPr>
        <w:t>结构尺寸、款型、外观</w:t>
      </w:r>
      <w:r>
        <w:rPr>
          <w:rFonts w:hint="eastAsia" w:ascii="Times New Roman" w:hAnsi="Times New Roman" w:eastAsia="宋体" w:cs="宋体"/>
          <w:b/>
          <w:bCs/>
          <w:color w:val="auto"/>
          <w:kern w:val="2"/>
          <w:sz w:val="24"/>
          <w:szCs w:val="24"/>
          <w:highlight w:val="none"/>
          <w:lang w:val="en-US" w:eastAsia="zh-CN" w:bidi="ar-SA"/>
        </w:rPr>
        <w:t>的</w:t>
      </w:r>
      <w:r>
        <w:rPr>
          <w:rFonts w:hint="eastAsia" w:ascii="宋体" w:hAnsi="宋体" w:cs="宋体"/>
          <w:b/>
          <w:bCs/>
          <w:color w:val="auto"/>
          <w:kern w:val="0"/>
          <w:sz w:val="24"/>
          <w:szCs w:val="24"/>
          <w:highlight w:val="none"/>
        </w:rPr>
        <w:t>，作无效投标处理。</w:t>
      </w:r>
    </w:p>
    <w:p w14:paraId="23D3F9E4">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jc w:val="left"/>
        <w:rPr>
          <w:color w:val="1F2329"/>
          <w:sz w:val="24"/>
          <w:szCs w:val="24"/>
        </w:rPr>
      </w:pPr>
    </w:p>
    <w:p w14:paraId="67E7D08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jc w:val="left"/>
        <w:rPr>
          <w:color w:val="1F2329"/>
          <w:sz w:val="24"/>
          <w:szCs w:val="24"/>
        </w:rPr>
      </w:pPr>
      <w:r>
        <w:drawing>
          <wp:anchor distT="0" distB="0" distL="114300" distR="114300" simplePos="0" relativeHeight="251661312" behindDoc="0" locked="0" layoutInCell="1" allowOverlap="1">
            <wp:simplePos x="0" y="0"/>
            <wp:positionH relativeFrom="column">
              <wp:posOffset>3813810</wp:posOffset>
            </wp:positionH>
            <wp:positionV relativeFrom="page">
              <wp:posOffset>8051800</wp:posOffset>
            </wp:positionV>
            <wp:extent cx="1497330" cy="867410"/>
            <wp:effectExtent l="0" t="0" r="7620" b="889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a:stretch>
                      <a:fillRect/>
                    </a:stretch>
                  </pic:blipFill>
                  <pic:spPr>
                    <a:xfrm>
                      <a:off x="0" y="0"/>
                      <a:ext cx="1497330" cy="867410"/>
                    </a:xfrm>
                    <a:prstGeom prst="rect">
                      <a:avLst/>
                    </a:prstGeom>
                    <a:noFill/>
                    <a:ln>
                      <a:noFill/>
                    </a:ln>
                  </pic:spPr>
                </pic:pic>
              </a:graphicData>
            </a:graphic>
          </wp:anchor>
        </w:drawing>
      </w:r>
      <w:r>
        <w:drawing>
          <wp:anchor distT="0" distB="0" distL="114300" distR="114300" simplePos="0" relativeHeight="251660288" behindDoc="0" locked="0" layoutInCell="1" allowOverlap="1">
            <wp:simplePos x="0" y="0"/>
            <wp:positionH relativeFrom="column">
              <wp:posOffset>1919605</wp:posOffset>
            </wp:positionH>
            <wp:positionV relativeFrom="page">
              <wp:posOffset>8006715</wp:posOffset>
            </wp:positionV>
            <wp:extent cx="1404620" cy="906145"/>
            <wp:effectExtent l="0" t="0" r="5080" b="825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1404620" cy="906145"/>
                    </a:xfrm>
                    <a:prstGeom prst="rect">
                      <a:avLst/>
                    </a:prstGeom>
                    <a:noFill/>
                    <a:ln>
                      <a:noFill/>
                    </a:ln>
                  </pic:spPr>
                </pic:pic>
              </a:graphicData>
            </a:graphic>
          </wp:anchor>
        </w:drawing>
      </w:r>
      <w:r>
        <w:drawing>
          <wp:anchor distT="0" distB="0" distL="114300" distR="114300" simplePos="0" relativeHeight="251659264" behindDoc="0" locked="0" layoutInCell="1" allowOverlap="1">
            <wp:simplePos x="0" y="0"/>
            <wp:positionH relativeFrom="column">
              <wp:posOffset>-86360</wp:posOffset>
            </wp:positionH>
            <wp:positionV relativeFrom="page">
              <wp:posOffset>8081010</wp:posOffset>
            </wp:positionV>
            <wp:extent cx="1476375" cy="1172210"/>
            <wp:effectExtent l="0" t="0" r="9525" b="889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1476375" cy="1172210"/>
                    </a:xfrm>
                    <a:prstGeom prst="rect">
                      <a:avLst/>
                    </a:prstGeom>
                    <a:noFill/>
                    <a:ln>
                      <a:noFill/>
                    </a:ln>
                  </pic:spPr>
                </pic:pic>
              </a:graphicData>
            </a:graphic>
          </wp:anchor>
        </w:drawing>
      </w:r>
    </w:p>
    <w:p w14:paraId="54E3EAF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jc w:val="left"/>
        <w:rPr>
          <w:color w:val="1F2329"/>
          <w:sz w:val="24"/>
          <w:szCs w:val="24"/>
        </w:rPr>
      </w:pPr>
    </w:p>
    <w:p w14:paraId="276D7DB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jc w:val="left"/>
        <w:rPr>
          <w:color w:val="1F2329"/>
          <w:sz w:val="24"/>
          <w:szCs w:val="24"/>
        </w:rPr>
      </w:pPr>
    </w:p>
    <w:p w14:paraId="7423856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jc w:val="left"/>
        <w:rPr>
          <w:color w:val="1F2329"/>
          <w:sz w:val="24"/>
          <w:szCs w:val="24"/>
        </w:rPr>
      </w:pPr>
    </w:p>
    <w:p w14:paraId="0367843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jc w:val="left"/>
        <w:rPr>
          <w:color w:val="1F2329"/>
          <w:sz w:val="24"/>
          <w:szCs w:val="24"/>
        </w:rPr>
      </w:pPr>
    </w:p>
    <w:p w14:paraId="2DD99C54">
      <w:pPr>
        <w:bidi w:val="0"/>
      </w:pPr>
    </w:p>
    <w:p w14:paraId="179A34AF">
      <w:pPr>
        <w:bidi w:val="0"/>
      </w:pPr>
    </w:p>
    <w:p w14:paraId="060530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1F2329"/>
          <w:sz w:val="32"/>
          <w:szCs w:val="32"/>
        </w:rPr>
      </w:pPr>
      <w:r>
        <w:rPr>
          <w:color w:val="1F2329"/>
          <w:sz w:val="32"/>
          <w:szCs w:val="32"/>
        </w:rPr>
        <w:t>第四章 投标报价</w:t>
      </w:r>
    </w:p>
    <w:p w14:paraId="0C36E55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4.1 报价方式</w:t>
      </w:r>
    </w:p>
    <w:p w14:paraId="2551AA1A">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本次投标报价采用固定总价方式，包含产品制造、运输、安装、调试、税费、售后服务等所有费用；</w:t>
      </w:r>
    </w:p>
    <w:p w14:paraId="56181EE1">
      <w:pPr>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投标人应在投标报价表中详细列明单价、数量、总价、税率等信息；</w:t>
      </w:r>
    </w:p>
    <w:p w14:paraId="1B3F02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4.2 报价要求</w:t>
      </w:r>
    </w:p>
    <w:p w14:paraId="24FFEAD7">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投标报价应真实反映产品价值和市场行情，不得恶意低价竞争；</w:t>
      </w:r>
    </w:p>
    <w:p w14:paraId="23D016D5">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投标人应充分考虑项目实施过程中的各种风险因素，报价一经确认，不得因任何理由调整；</w:t>
      </w:r>
    </w:p>
    <w:p w14:paraId="764298AB">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投标总价应与各分项报价合计一致，如出现不一致，以各分项报价合计为准；</w:t>
      </w:r>
    </w:p>
    <w:p w14:paraId="02400ABB">
      <w:pPr>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报价表需由法定代表人或授权代表签字并加盖投标人公章。</w:t>
      </w:r>
    </w:p>
    <w:p w14:paraId="49EBB1D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4.3 价格评审</w:t>
      </w:r>
    </w:p>
    <w:p w14:paraId="40DAF65D">
      <w:pPr>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评标委员会将对投标报价的合理性、完整性进行评审；</w:t>
      </w:r>
    </w:p>
    <w:p w14:paraId="01EAFEC0">
      <w:pPr>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低于成本价的投标报价将被视为无效投标；</w:t>
      </w:r>
    </w:p>
    <w:p w14:paraId="33043A30">
      <w:pPr>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报价评审将结合技术响应情况、售后服务等因素综合考虑。</w:t>
      </w:r>
    </w:p>
    <w:p w14:paraId="3C3839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1F2329"/>
          <w:sz w:val="32"/>
          <w:szCs w:val="32"/>
        </w:rPr>
      </w:pPr>
      <w:r>
        <w:rPr>
          <w:color w:val="1F2329"/>
          <w:sz w:val="32"/>
          <w:szCs w:val="32"/>
        </w:rPr>
        <w:t xml:space="preserve">第五章 </w:t>
      </w:r>
      <w:r>
        <w:rPr>
          <w:rFonts w:hint="eastAsia"/>
          <w:color w:val="1F2329"/>
          <w:sz w:val="32"/>
          <w:szCs w:val="32"/>
          <w:lang w:val="en-US" w:eastAsia="zh-CN"/>
        </w:rPr>
        <w:t>其他</w:t>
      </w:r>
      <w:r>
        <w:rPr>
          <w:color w:val="1F2329"/>
          <w:sz w:val="32"/>
          <w:szCs w:val="32"/>
        </w:rPr>
        <w:t>条款</w:t>
      </w:r>
    </w:p>
    <w:p w14:paraId="6BB43B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5.</w:t>
      </w:r>
      <w:r>
        <w:rPr>
          <w:rFonts w:hint="eastAsia"/>
          <w:color w:val="1F2329"/>
          <w:sz w:val="24"/>
          <w:szCs w:val="24"/>
          <w:lang w:val="en-US" w:eastAsia="zh-CN"/>
        </w:rPr>
        <w:t>1</w:t>
      </w:r>
      <w:r>
        <w:rPr>
          <w:color w:val="1F2329"/>
          <w:sz w:val="24"/>
          <w:szCs w:val="24"/>
        </w:rPr>
        <w:t xml:space="preserve"> 交货地点</w:t>
      </w:r>
    </w:p>
    <w:p w14:paraId="507CFAD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1F2329"/>
          <w:sz w:val="24"/>
          <w:szCs w:val="24"/>
        </w:rPr>
      </w:pPr>
      <w:r>
        <w:rPr>
          <w:rFonts w:ascii="宋体" w:hAnsi="宋体" w:eastAsia="宋体" w:cs="宋体"/>
          <w:color w:val="1F2329"/>
          <w:kern w:val="0"/>
          <w:sz w:val="24"/>
          <w:szCs w:val="24"/>
          <w:lang w:val="en-US" w:eastAsia="zh-CN" w:bidi="ar"/>
        </w:rPr>
        <w:t>厦门医学院附属口腔医院</w:t>
      </w:r>
      <w:r>
        <w:rPr>
          <w:rFonts w:hint="eastAsia" w:ascii="宋体" w:hAnsi="宋体" w:eastAsia="宋体" w:cs="宋体"/>
          <w:color w:val="1F2329"/>
          <w:kern w:val="0"/>
          <w:sz w:val="24"/>
          <w:szCs w:val="24"/>
          <w:lang w:val="en-US" w:eastAsia="zh-CN" w:bidi="ar"/>
        </w:rPr>
        <w:t>蔡塘总院9</w:t>
      </w:r>
      <w:r>
        <w:rPr>
          <w:rFonts w:ascii="宋体" w:hAnsi="宋体" w:eastAsia="宋体" w:cs="宋体"/>
          <w:color w:val="1F2329"/>
          <w:kern w:val="0"/>
          <w:sz w:val="24"/>
          <w:szCs w:val="24"/>
          <w:lang w:val="en-US" w:eastAsia="zh-CN" w:bidi="ar"/>
        </w:rPr>
        <w:t>楼报告厅（</w:t>
      </w:r>
      <w:r>
        <w:rPr>
          <w:rFonts w:hint="eastAsia" w:ascii="宋体" w:hAnsi="宋体" w:eastAsia="宋体" w:cs="宋体"/>
          <w:color w:val="1F2329"/>
          <w:kern w:val="0"/>
          <w:sz w:val="24"/>
          <w:szCs w:val="24"/>
          <w:lang w:val="en-US" w:eastAsia="zh-CN" w:bidi="ar"/>
        </w:rPr>
        <w:t>湖里区吕岭路1309号</w:t>
      </w:r>
      <w:r>
        <w:rPr>
          <w:rFonts w:ascii="宋体" w:hAnsi="宋体" w:eastAsia="宋体" w:cs="宋体"/>
          <w:color w:val="1F2329"/>
          <w:kern w:val="0"/>
          <w:sz w:val="24"/>
          <w:szCs w:val="24"/>
          <w:lang w:val="en-US" w:eastAsia="zh-CN" w:bidi="ar"/>
        </w:rPr>
        <w:t>）</w:t>
      </w:r>
    </w:p>
    <w:p w14:paraId="2FBF303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5.</w:t>
      </w:r>
      <w:r>
        <w:rPr>
          <w:rFonts w:hint="eastAsia"/>
          <w:color w:val="1F2329"/>
          <w:sz w:val="24"/>
          <w:szCs w:val="24"/>
          <w:lang w:val="en-US" w:eastAsia="zh-CN"/>
        </w:rPr>
        <w:t>2</w:t>
      </w:r>
      <w:r>
        <w:rPr>
          <w:color w:val="1F2329"/>
          <w:sz w:val="24"/>
          <w:szCs w:val="24"/>
        </w:rPr>
        <w:t xml:space="preserve"> 质量验收</w:t>
      </w:r>
    </w:p>
    <w:p w14:paraId="254588CE">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货物到达现场后，买卖双方共同对货物的数量、规格、外观等进行初步验收；</w:t>
      </w:r>
    </w:p>
    <w:p w14:paraId="7DE39E05">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安装完成后，招标人组织专业人员按照招标文件技术参数要求进行最终验收；</w:t>
      </w:r>
    </w:p>
    <w:p w14:paraId="75526C23">
      <w:pPr>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验收合格后，双方签署验收报告；</w:t>
      </w:r>
      <w:r>
        <w:rPr>
          <w:rFonts w:hint="eastAsia"/>
          <w:color w:val="1F2329"/>
          <w:sz w:val="24"/>
          <w:szCs w:val="24"/>
          <w:lang w:val="en-US" w:eastAsia="zh-CN"/>
        </w:rPr>
        <w:t>找别人凭中标人开具的发票以银行转账的形式付款。</w:t>
      </w:r>
    </w:p>
    <w:p w14:paraId="1EA3AE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5.</w:t>
      </w:r>
      <w:r>
        <w:rPr>
          <w:rFonts w:hint="eastAsia"/>
          <w:color w:val="1F2329"/>
          <w:sz w:val="24"/>
          <w:szCs w:val="24"/>
          <w:lang w:val="en-US" w:eastAsia="zh-CN"/>
        </w:rPr>
        <w:t>3</w:t>
      </w:r>
      <w:r>
        <w:rPr>
          <w:color w:val="1F2329"/>
          <w:sz w:val="24"/>
          <w:szCs w:val="24"/>
        </w:rPr>
        <w:t xml:space="preserve"> 质量保证期</w:t>
      </w:r>
    </w:p>
    <w:p w14:paraId="4F71ADD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hanging="360" w:firstLineChars="0"/>
        <w:jc w:val="left"/>
        <w:rPr>
          <w:color w:val="1F2329"/>
          <w:sz w:val="24"/>
          <w:szCs w:val="24"/>
        </w:rPr>
      </w:pPr>
      <w:r>
        <w:rPr>
          <w:rFonts w:asciiTheme="minorHAnsi" w:hAnsiTheme="minorHAnsi" w:eastAsiaTheme="minorEastAsia" w:cstheme="minorBidi"/>
          <w:color w:val="1F2329"/>
          <w:kern w:val="2"/>
          <w:sz w:val="24"/>
          <w:szCs w:val="24"/>
          <w:lang w:val="en-US" w:eastAsia="zh-CN" w:bidi="ar-SA"/>
        </w:rPr>
        <w:t>1.</w:t>
      </w:r>
      <w:r>
        <w:rPr>
          <w:color w:val="1F2329"/>
          <w:sz w:val="24"/>
          <w:szCs w:val="24"/>
        </w:rPr>
        <w:t>质量保证期：自验收合格之日起</w:t>
      </w:r>
      <w:r>
        <w:rPr>
          <w:rFonts w:hint="eastAsia"/>
          <w:color w:val="1F2329"/>
          <w:sz w:val="24"/>
          <w:szCs w:val="24"/>
          <w:u w:val="single"/>
          <w:lang w:val="en-US" w:eastAsia="zh-CN"/>
        </w:rPr>
        <w:t>3</w:t>
      </w:r>
      <w:r>
        <w:rPr>
          <w:color w:val="1F2329"/>
          <w:sz w:val="24"/>
          <w:szCs w:val="24"/>
        </w:rPr>
        <w:t>年；</w:t>
      </w:r>
    </w:p>
    <w:p w14:paraId="4B5AFAD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hanging="360" w:firstLineChars="0"/>
        <w:jc w:val="left"/>
        <w:rPr>
          <w:color w:val="1F2329"/>
          <w:sz w:val="24"/>
          <w:szCs w:val="24"/>
        </w:rPr>
      </w:pPr>
      <w:r>
        <w:rPr>
          <w:rFonts w:asciiTheme="minorHAnsi" w:hAnsiTheme="minorHAnsi" w:eastAsiaTheme="minorEastAsia" w:cstheme="minorBidi"/>
          <w:color w:val="1F2329"/>
          <w:kern w:val="2"/>
          <w:sz w:val="24"/>
          <w:szCs w:val="24"/>
          <w:lang w:val="en-US" w:eastAsia="zh-CN" w:bidi="ar-SA"/>
        </w:rPr>
        <w:t>2.</w:t>
      </w:r>
      <w:r>
        <w:rPr>
          <w:color w:val="1F2329"/>
          <w:sz w:val="24"/>
          <w:szCs w:val="24"/>
        </w:rPr>
        <w:t>质保期内，如产品出现质量问题，投标人应在接到通知后</w:t>
      </w:r>
      <w:r>
        <w:rPr>
          <w:rFonts w:hint="eastAsia"/>
          <w:color w:val="1F2329"/>
          <w:sz w:val="24"/>
          <w:szCs w:val="24"/>
          <w:u w:val="single"/>
          <w:lang w:val="en-US" w:eastAsia="zh-CN"/>
        </w:rPr>
        <w:t>24</w:t>
      </w:r>
      <w:r>
        <w:rPr>
          <w:color w:val="1F2329"/>
          <w:sz w:val="24"/>
          <w:szCs w:val="24"/>
        </w:rPr>
        <w:t>小时内响应，</w:t>
      </w:r>
      <w:r>
        <w:rPr>
          <w:rFonts w:hint="eastAsia"/>
          <w:color w:val="1F2329"/>
          <w:sz w:val="24"/>
          <w:szCs w:val="24"/>
          <w:u w:val="single"/>
          <w:lang w:val="en-US" w:eastAsia="zh-CN"/>
        </w:rPr>
        <w:t>48</w:t>
      </w:r>
      <w:r>
        <w:rPr>
          <w:color w:val="1F2329"/>
          <w:sz w:val="24"/>
          <w:szCs w:val="24"/>
        </w:rPr>
        <w:t>小时内到达现场处理；</w:t>
      </w:r>
    </w:p>
    <w:p w14:paraId="41A92B2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hanging="360" w:firstLineChars="0"/>
        <w:jc w:val="left"/>
        <w:rPr>
          <w:color w:val="1F2329"/>
          <w:sz w:val="24"/>
          <w:szCs w:val="24"/>
        </w:rPr>
      </w:pPr>
      <w:r>
        <w:rPr>
          <w:rFonts w:asciiTheme="minorHAnsi" w:hAnsiTheme="minorHAnsi" w:eastAsiaTheme="minorEastAsia" w:cstheme="minorBidi"/>
          <w:color w:val="1F2329"/>
          <w:kern w:val="2"/>
          <w:sz w:val="24"/>
          <w:szCs w:val="24"/>
          <w:lang w:val="en-US" w:eastAsia="zh-CN" w:bidi="ar-SA"/>
        </w:rPr>
        <w:t>3.</w:t>
      </w:r>
      <w:r>
        <w:rPr>
          <w:color w:val="1F2329"/>
          <w:sz w:val="24"/>
          <w:szCs w:val="24"/>
        </w:rPr>
        <w:t>质保期内所有维修服务免费，更换零部件免费；</w:t>
      </w:r>
    </w:p>
    <w:p w14:paraId="5A545B6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leftChars="0" w:right="0" w:rightChars="0" w:hanging="360" w:firstLineChars="0"/>
        <w:jc w:val="left"/>
        <w:rPr>
          <w:color w:val="1F2329"/>
          <w:sz w:val="24"/>
          <w:szCs w:val="24"/>
        </w:rPr>
      </w:pPr>
      <w:r>
        <w:rPr>
          <w:rFonts w:asciiTheme="minorHAnsi" w:hAnsiTheme="minorHAnsi" w:eastAsiaTheme="minorEastAsia" w:cstheme="minorBidi"/>
          <w:color w:val="1F2329"/>
          <w:kern w:val="2"/>
          <w:sz w:val="24"/>
          <w:szCs w:val="24"/>
          <w:lang w:val="en-US" w:eastAsia="zh-CN" w:bidi="ar-SA"/>
        </w:rPr>
        <w:t>4.</w:t>
      </w:r>
      <w:r>
        <w:rPr>
          <w:color w:val="1F2329"/>
          <w:sz w:val="24"/>
          <w:szCs w:val="24"/>
        </w:rPr>
        <w:t>质保期满后，投标人应提供终身维护服务，只收取成本费用。</w:t>
      </w:r>
    </w:p>
    <w:p w14:paraId="70E5A4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color w:val="1F2329"/>
          <w:sz w:val="24"/>
          <w:szCs w:val="24"/>
          <w:lang w:val="en-US" w:eastAsia="zh-CN"/>
        </w:rPr>
      </w:pPr>
      <w:r>
        <w:rPr>
          <w:rFonts w:hint="eastAsia"/>
          <w:color w:val="1F2329"/>
          <w:sz w:val="24"/>
          <w:szCs w:val="24"/>
          <w:lang w:val="en-US" w:eastAsia="zh-CN"/>
        </w:rPr>
        <w:t>5.4 交货时间</w:t>
      </w:r>
    </w:p>
    <w:p w14:paraId="38F4078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default" w:asciiTheme="minorHAnsi" w:hAnsiTheme="minorHAnsi" w:eastAsiaTheme="minorEastAsia" w:cstheme="minorBidi"/>
          <w:b w:val="0"/>
          <w:bCs w:val="0"/>
          <w:color w:val="1F2329"/>
          <w:kern w:val="2"/>
          <w:sz w:val="24"/>
          <w:szCs w:val="24"/>
          <w:lang w:val="en-US" w:eastAsia="zh-CN" w:bidi="ar-SA"/>
        </w:rPr>
      </w:pPr>
      <w:r>
        <w:rPr>
          <w:rFonts w:hint="default" w:asciiTheme="minorHAnsi" w:hAnsiTheme="minorHAnsi" w:eastAsiaTheme="minorEastAsia" w:cstheme="minorBidi"/>
          <w:b w:val="0"/>
          <w:bCs w:val="0"/>
          <w:color w:val="1F2329"/>
          <w:kern w:val="2"/>
          <w:sz w:val="24"/>
          <w:szCs w:val="24"/>
          <w:lang w:val="en-US" w:eastAsia="zh-CN" w:bidi="ar-SA"/>
        </w:rPr>
        <w:t>1.</w:t>
      </w:r>
      <w:r>
        <w:rPr>
          <w:rFonts w:hint="eastAsia" w:asciiTheme="minorHAnsi" w:hAnsiTheme="minorHAnsi" w:eastAsiaTheme="minorEastAsia" w:cstheme="minorBidi"/>
          <w:b w:val="0"/>
          <w:bCs w:val="0"/>
          <w:color w:val="1F2329"/>
          <w:kern w:val="2"/>
          <w:sz w:val="24"/>
          <w:szCs w:val="24"/>
          <w:lang w:val="en-US" w:eastAsia="zh-CN" w:bidi="ar-SA"/>
        </w:rPr>
        <w:t>合同签订后20天内。</w:t>
      </w:r>
    </w:p>
    <w:p w14:paraId="01D7FD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1F2329"/>
          <w:sz w:val="32"/>
          <w:szCs w:val="32"/>
        </w:rPr>
      </w:pPr>
      <w:r>
        <w:rPr>
          <w:color w:val="1F2329"/>
          <w:sz w:val="32"/>
          <w:szCs w:val="32"/>
        </w:rPr>
        <w:t>第六章 评标办法</w:t>
      </w:r>
    </w:p>
    <w:p w14:paraId="40BFC73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6.</w:t>
      </w:r>
      <w:r>
        <w:rPr>
          <w:rFonts w:hint="eastAsia"/>
          <w:color w:val="1F2329"/>
          <w:sz w:val="24"/>
          <w:szCs w:val="24"/>
          <w:lang w:val="en-US" w:eastAsia="zh-CN"/>
        </w:rPr>
        <w:t>1</w:t>
      </w:r>
      <w:r>
        <w:rPr>
          <w:color w:val="1F2329"/>
          <w:sz w:val="24"/>
          <w:szCs w:val="24"/>
        </w:rPr>
        <w:t xml:space="preserve"> 评分标准</w:t>
      </w:r>
    </w:p>
    <w:p w14:paraId="638E7B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default"/>
          <w:b/>
          <w:bCs/>
          <w:color w:val="1F2329"/>
          <w:sz w:val="24"/>
          <w:szCs w:val="24"/>
          <w:lang w:val="en-US"/>
        </w:rPr>
      </w:pPr>
      <w:r>
        <w:rPr>
          <w:rFonts w:hint="eastAsia" w:ascii="宋体" w:hAnsi="宋体" w:eastAsia="宋体" w:cs="宋体"/>
          <w:b/>
          <w:bCs/>
          <w:color w:val="1F2329"/>
          <w:kern w:val="0"/>
          <w:sz w:val="24"/>
          <w:szCs w:val="24"/>
          <w:lang w:val="en-US" w:eastAsia="zh-CN" w:bidi="ar"/>
        </w:rPr>
        <w:t>1.技术商务评审</w:t>
      </w:r>
      <w:r>
        <w:rPr>
          <w:rFonts w:ascii="宋体" w:hAnsi="宋体" w:eastAsia="宋体" w:cs="宋体"/>
          <w:b/>
          <w:bCs/>
          <w:color w:val="1F2329"/>
          <w:kern w:val="0"/>
          <w:sz w:val="24"/>
          <w:szCs w:val="24"/>
          <w:lang w:val="en-US" w:eastAsia="zh-CN" w:bidi="ar"/>
        </w:rPr>
        <w:t>表格</w:t>
      </w:r>
      <w:r>
        <w:rPr>
          <w:rFonts w:hint="eastAsia" w:ascii="宋体" w:hAnsi="宋体" w:eastAsia="宋体" w:cs="宋体"/>
          <w:b/>
          <w:bCs/>
          <w:color w:val="1F2329"/>
          <w:kern w:val="0"/>
          <w:sz w:val="24"/>
          <w:szCs w:val="24"/>
          <w:lang w:val="en-US" w:eastAsia="zh-CN" w:bidi="ar"/>
        </w:rPr>
        <w:t>，满分70分；</w:t>
      </w:r>
    </w:p>
    <w:tbl>
      <w:tblPr>
        <w:tblStyle w:val="7"/>
        <w:tblW w:w="9702" w:type="dxa"/>
        <w:jc w:val="center"/>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Layout w:type="autofit"/>
        <w:tblCellMar>
          <w:top w:w="0" w:type="dxa"/>
          <w:left w:w="0" w:type="dxa"/>
          <w:bottom w:w="0" w:type="dxa"/>
          <w:right w:w="0" w:type="dxa"/>
        </w:tblCellMar>
      </w:tblPr>
      <w:tblGrid>
        <w:gridCol w:w="732"/>
        <w:gridCol w:w="8297"/>
        <w:gridCol w:w="673"/>
      </w:tblGrid>
      <w:tr w14:paraId="38A307A8">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23" w:hRule="atLeast"/>
          <w:tblHeader/>
          <w:jc w:val="center"/>
        </w:trPr>
        <w:tc>
          <w:tcPr>
            <w:tcW w:w="732" w:type="dxa"/>
            <w:tcBorders>
              <w:top w:val="single" w:color="666666" w:sz="4" w:space="0"/>
              <w:left w:val="single" w:color="666666" w:sz="4" w:space="0"/>
              <w:bottom w:val="single" w:color="666666" w:sz="4" w:space="0"/>
              <w:right w:val="single" w:color="666666" w:sz="4" w:space="0"/>
            </w:tcBorders>
            <w:shd w:val="clear" w:color="auto" w:fill="auto"/>
            <w:vAlign w:val="center"/>
          </w:tcPr>
          <w:p w14:paraId="010AB56A">
            <w:pPr>
              <w:keepNext w:val="0"/>
              <w:keepLines w:val="0"/>
              <w:pageBreakBefore w:val="0"/>
              <w:kinsoku/>
              <w:wordWrap/>
              <w:overflowPunct/>
              <w:topLinePunct w:val="0"/>
              <w:autoSpaceDE/>
              <w:autoSpaceDN/>
              <w:bidi w:val="0"/>
              <w:adjustRightInd/>
              <w:snapToGrid/>
              <w:spacing w:line="370" w:lineRule="exact"/>
              <w:jc w:val="center"/>
              <w:rPr>
                <w:rFonts w:hint="eastAsia" w:ascii="宋体" w:hAnsi="宋体" w:eastAsia="宋体" w:cs="宋体"/>
                <w:b/>
                <w:bCs/>
                <w:color w:val="auto"/>
                <w:kern w:val="0"/>
                <w:sz w:val="24"/>
                <w:highlight w:val="none"/>
                <w:lang w:eastAsia="zh-CN"/>
              </w:rPr>
            </w:pPr>
            <w:r>
              <w:rPr>
                <w:rFonts w:hint="eastAsia" w:ascii="宋体" w:hAnsi="宋体" w:cs="宋体"/>
                <w:b/>
                <w:bCs/>
                <w:color w:val="auto"/>
                <w:kern w:val="0"/>
                <w:sz w:val="24"/>
                <w:highlight w:val="none"/>
                <w:lang w:val="en-US" w:eastAsia="zh-CN"/>
              </w:rPr>
              <w:t>序号</w:t>
            </w:r>
          </w:p>
        </w:tc>
        <w:tc>
          <w:tcPr>
            <w:tcW w:w="8297" w:type="dxa"/>
            <w:tcBorders>
              <w:top w:val="single" w:color="666666" w:sz="4" w:space="0"/>
              <w:left w:val="single" w:color="666666" w:sz="4" w:space="0"/>
              <w:bottom w:val="single" w:color="666666" w:sz="4" w:space="0"/>
              <w:right w:val="single" w:color="666666" w:sz="4" w:space="0"/>
            </w:tcBorders>
            <w:shd w:val="clear" w:color="auto" w:fill="auto"/>
            <w:vAlign w:val="center"/>
          </w:tcPr>
          <w:p w14:paraId="744F46A3">
            <w:pPr>
              <w:keepNext w:val="0"/>
              <w:keepLines w:val="0"/>
              <w:pageBreakBefore w:val="0"/>
              <w:kinsoku/>
              <w:wordWrap/>
              <w:overflowPunct/>
              <w:topLinePunct w:val="0"/>
              <w:autoSpaceDE/>
              <w:autoSpaceDN/>
              <w:bidi w:val="0"/>
              <w:adjustRightInd/>
              <w:snapToGrid/>
              <w:spacing w:line="370" w:lineRule="exact"/>
              <w:jc w:val="center"/>
              <w:rPr>
                <w:rFonts w:ascii="宋体" w:hAnsi="宋体" w:cs="宋体"/>
                <w:b/>
                <w:bCs/>
                <w:color w:val="auto"/>
                <w:kern w:val="0"/>
                <w:sz w:val="24"/>
                <w:highlight w:val="none"/>
              </w:rPr>
            </w:pPr>
            <w:r>
              <w:rPr>
                <w:rFonts w:hint="eastAsia" w:ascii="宋体" w:hAnsi="宋体" w:cs="宋体"/>
                <w:b/>
                <w:bCs/>
                <w:color w:val="000000"/>
                <w:kern w:val="0"/>
                <w:sz w:val="24"/>
              </w:rPr>
              <w:t>评分因素及评分细则</w:t>
            </w:r>
          </w:p>
        </w:tc>
        <w:tc>
          <w:tcPr>
            <w:tcW w:w="67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2EF87777">
            <w:pPr>
              <w:keepNext w:val="0"/>
              <w:keepLines w:val="0"/>
              <w:pageBreakBefore w:val="0"/>
              <w:kinsoku/>
              <w:wordWrap/>
              <w:overflowPunct/>
              <w:topLinePunct w:val="0"/>
              <w:autoSpaceDE/>
              <w:autoSpaceDN/>
              <w:bidi w:val="0"/>
              <w:adjustRightInd/>
              <w:snapToGrid/>
              <w:spacing w:line="370" w:lineRule="exact"/>
              <w:jc w:val="center"/>
              <w:rPr>
                <w:rFonts w:hint="eastAsia" w:ascii="宋体" w:hAnsi="宋体" w:eastAsia="宋体" w:cs="宋体"/>
                <w:b/>
                <w:bCs/>
                <w:color w:val="auto"/>
                <w:kern w:val="0"/>
                <w:sz w:val="24"/>
                <w:szCs w:val="24"/>
                <w:highlight w:val="none"/>
                <w:lang w:val="en-US" w:eastAsia="zh-CN" w:bidi="ar-SA"/>
              </w:rPr>
            </w:pPr>
            <w:r>
              <w:rPr>
                <w:rFonts w:hint="eastAsia" w:ascii="宋体" w:hAnsi="宋体" w:cs="宋体"/>
                <w:b/>
                <w:bCs/>
                <w:color w:val="auto"/>
                <w:kern w:val="0"/>
                <w:sz w:val="24"/>
                <w:highlight w:val="none"/>
                <w:lang w:val="en-US" w:eastAsia="zh-CN"/>
              </w:rPr>
              <w:t>满分</w:t>
            </w:r>
            <w:r>
              <w:rPr>
                <w:rFonts w:hint="eastAsia" w:ascii="宋体" w:hAnsi="宋体" w:cs="宋体"/>
                <w:b/>
                <w:bCs/>
                <w:color w:val="auto"/>
                <w:kern w:val="0"/>
                <w:sz w:val="24"/>
                <w:highlight w:val="none"/>
              </w:rPr>
              <w:t>分值</w:t>
            </w:r>
          </w:p>
        </w:tc>
      </w:tr>
      <w:tr w14:paraId="48FF6056">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32" w:type="dxa"/>
            <w:tcBorders>
              <w:top w:val="single" w:color="666666" w:sz="4" w:space="0"/>
              <w:left w:val="single" w:color="666666" w:sz="4" w:space="0"/>
              <w:bottom w:val="single" w:color="666666" w:sz="4" w:space="0"/>
              <w:right w:val="single" w:color="666666" w:sz="4" w:space="0"/>
            </w:tcBorders>
            <w:shd w:val="clear" w:color="auto" w:fill="auto"/>
            <w:vAlign w:val="center"/>
          </w:tcPr>
          <w:p w14:paraId="0783A36C">
            <w:pPr>
              <w:keepNext w:val="0"/>
              <w:keepLines w:val="0"/>
              <w:pageBreakBefore w:val="0"/>
              <w:kinsoku/>
              <w:wordWrap/>
              <w:overflowPunct/>
              <w:topLinePunct w:val="0"/>
              <w:autoSpaceDE/>
              <w:autoSpaceDN/>
              <w:bidi w:val="0"/>
              <w:adjustRightInd/>
              <w:snapToGrid/>
              <w:spacing w:line="370" w:lineRule="exact"/>
              <w:jc w:val="center"/>
              <w:rPr>
                <w:rFonts w:ascii="宋体" w:hAnsi="宋体" w:cs="宋体"/>
                <w:color w:val="auto"/>
                <w:kern w:val="0"/>
                <w:sz w:val="24"/>
                <w:highlight w:val="none"/>
              </w:rPr>
            </w:pPr>
            <w:r>
              <w:rPr>
                <w:rFonts w:hint="eastAsia" w:ascii="宋体" w:hAnsi="宋体" w:cs="宋体"/>
                <w:color w:val="auto"/>
                <w:kern w:val="0"/>
                <w:sz w:val="24"/>
                <w:highlight w:val="none"/>
              </w:rPr>
              <w:t>1-1</w:t>
            </w:r>
          </w:p>
        </w:tc>
        <w:tc>
          <w:tcPr>
            <w:tcW w:w="8297" w:type="dxa"/>
            <w:tcBorders>
              <w:top w:val="single" w:color="666666" w:sz="4" w:space="0"/>
              <w:left w:val="single" w:color="666666" w:sz="4" w:space="0"/>
              <w:bottom w:val="single" w:color="666666" w:sz="4" w:space="0"/>
              <w:right w:val="single" w:color="666666" w:sz="4" w:space="0"/>
            </w:tcBorders>
            <w:shd w:val="clear" w:color="auto" w:fill="auto"/>
            <w:vAlign w:val="top"/>
          </w:tcPr>
          <w:p w14:paraId="112A66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both"/>
              <w:rPr>
                <w:rFonts w:hint="eastAsia" w:ascii="宋体" w:hAnsi="宋体" w:cs="宋体"/>
                <w:color w:val="auto"/>
                <w:sz w:val="24"/>
                <w:highlight w:val="none"/>
                <w:lang w:val="zh-CN"/>
              </w:rPr>
            </w:pPr>
            <w:r>
              <w:rPr>
                <w:rFonts w:hint="eastAsia" w:ascii="宋体" w:hAnsi="宋体" w:cs="宋体" w:eastAsiaTheme="minorEastAsia"/>
                <w:b w:val="0"/>
                <w:bCs w:val="0"/>
                <w:color w:val="auto"/>
                <w:kern w:val="2"/>
                <w:sz w:val="24"/>
                <w:szCs w:val="24"/>
                <w:highlight w:val="none"/>
                <w:lang w:val="en-US" w:eastAsia="zh-CN" w:bidi="ar-SA"/>
              </w:rPr>
              <w:t>根据磋商</w:t>
            </w:r>
            <w:r>
              <w:rPr>
                <w:rFonts w:hint="eastAsia" w:ascii="宋体" w:hAnsi="宋体" w:cs="宋体" w:eastAsiaTheme="minorEastAsia"/>
                <w:b w:val="0"/>
                <w:bCs w:val="0"/>
                <w:color w:val="auto"/>
                <w:kern w:val="2"/>
                <w:sz w:val="24"/>
                <w:szCs w:val="24"/>
                <w:highlight w:val="none"/>
                <w:lang w:val="zh-CN" w:eastAsia="zh-CN" w:bidi="ar-SA"/>
              </w:rPr>
              <w:t>供应商对</w:t>
            </w:r>
            <w:r>
              <w:rPr>
                <w:rFonts w:hint="eastAsia" w:cs="宋体" w:eastAsiaTheme="minorEastAsia"/>
                <w:b w:val="0"/>
                <w:bCs w:val="0"/>
                <w:color w:val="auto"/>
                <w:kern w:val="2"/>
                <w:sz w:val="24"/>
                <w:szCs w:val="24"/>
                <w:highlight w:val="none"/>
                <w:lang w:val="zh-CN" w:eastAsia="zh-CN" w:bidi="ar-SA"/>
              </w:rPr>
              <w:t>“</w:t>
            </w:r>
            <w:r>
              <w:rPr>
                <w:rFonts w:hint="eastAsia" w:ascii="宋体" w:hAnsi="宋体" w:cs="宋体" w:eastAsiaTheme="minorEastAsia"/>
                <w:b w:val="0"/>
                <w:bCs w:val="0"/>
                <w:color w:val="auto"/>
                <w:kern w:val="2"/>
                <w:sz w:val="24"/>
                <w:szCs w:val="24"/>
                <w:highlight w:val="none"/>
                <w:lang w:val="zh-CN" w:eastAsia="zh-CN" w:bidi="ar-SA"/>
              </w:rPr>
              <w:t>第三章 技术参数及要求</w:t>
            </w:r>
            <w:r>
              <w:rPr>
                <w:rFonts w:hint="eastAsia" w:cs="宋体" w:eastAsiaTheme="minorEastAsia"/>
                <w:b w:val="0"/>
                <w:bCs w:val="0"/>
                <w:color w:val="auto"/>
                <w:kern w:val="2"/>
                <w:sz w:val="24"/>
                <w:szCs w:val="24"/>
                <w:highlight w:val="none"/>
                <w:lang w:val="zh-CN" w:eastAsia="zh-CN" w:bidi="ar-SA"/>
              </w:rPr>
              <w:t>”</w:t>
            </w:r>
            <w:r>
              <w:rPr>
                <w:rFonts w:hint="eastAsia" w:ascii="宋体" w:hAnsi="宋体" w:cs="宋体" w:eastAsiaTheme="minorEastAsia"/>
                <w:b w:val="0"/>
                <w:bCs w:val="0"/>
                <w:color w:val="auto"/>
                <w:kern w:val="2"/>
                <w:sz w:val="24"/>
                <w:szCs w:val="24"/>
                <w:highlight w:val="none"/>
                <w:lang w:val="zh-CN" w:eastAsia="zh-CN" w:bidi="ar-SA"/>
              </w:rPr>
              <w:t>响应情况进行评价：</w:t>
            </w:r>
          </w:p>
          <w:p w14:paraId="5A6E1963">
            <w:pPr>
              <w:keepNext w:val="0"/>
              <w:keepLines w:val="0"/>
              <w:pageBreakBefore w:val="0"/>
              <w:kinsoku/>
              <w:wordWrap/>
              <w:overflowPunct/>
              <w:topLinePunct w:val="0"/>
              <w:autoSpaceDE/>
              <w:autoSpaceDN/>
              <w:bidi w:val="0"/>
              <w:adjustRightInd/>
              <w:snapToGrid/>
              <w:spacing w:line="370" w:lineRule="exact"/>
              <w:jc w:val="left"/>
              <w:rPr>
                <w:rFonts w:hint="eastAsia" w:ascii="宋体" w:hAnsi="宋体" w:cs="宋体"/>
                <w:color w:val="auto"/>
                <w:sz w:val="24"/>
                <w:highlight w:val="none"/>
                <w:lang w:val="zh-CN"/>
              </w:rPr>
            </w:pPr>
            <w:r>
              <w:rPr>
                <w:rFonts w:hint="eastAsia" w:ascii="宋体" w:hAnsi="宋体" w:cs="宋体"/>
                <w:color w:val="auto"/>
                <w:sz w:val="24"/>
                <w:highlight w:val="none"/>
                <w:lang w:val="zh-CN"/>
              </w:rPr>
              <w:t>完全满足</w:t>
            </w:r>
            <w:r>
              <w:rPr>
                <w:rFonts w:hint="eastAsia" w:ascii="宋体" w:hAnsi="宋体" w:cs="宋体"/>
                <w:color w:val="auto"/>
                <w:sz w:val="24"/>
                <w:highlight w:val="none"/>
                <w:lang w:val="en-US" w:eastAsia="zh-CN"/>
              </w:rPr>
              <w:t>采购清单</w:t>
            </w:r>
            <w:r>
              <w:rPr>
                <w:rFonts w:hint="eastAsia" w:ascii="宋体" w:hAnsi="宋体" w:cs="宋体"/>
                <w:color w:val="auto"/>
                <w:sz w:val="24"/>
                <w:highlight w:val="none"/>
                <w:lang w:val="zh-CN"/>
              </w:rPr>
              <w:t>要求的得</w:t>
            </w:r>
            <w:r>
              <w:rPr>
                <w:rFonts w:hint="eastAsia" w:ascii="宋体" w:hAnsi="宋体" w:cs="宋体"/>
                <w:color w:val="auto"/>
                <w:sz w:val="24"/>
                <w:highlight w:val="none"/>
                <w:lang w:val="en-US" w:eastAsia="zh-CN"/>
              </w:rPr>
              <w:t>20</w:t>
            </w:r>
            <w:r>
              <w:rPr>
                <w:rFonts w:hint="eastAsia" w:ascii="宋体" w:hAnsi="宋体" w:cs="宋体"/>
                <w:color w:val="auto"/>
                <w:sz w:val="24"/>
                <w:highlight w:val="none"/>
                <w:lang w:val="zh-CN"/>
              </w:rPr>
              <w:t>分，存在负偏离或不满足的一项扣</w:t>
            </w:r>
            <w:r>
              <w:rPr>
                <w:rFonts w:hint="eastAsia" w:ascii="宋体" w:hAnsi="宋体" w:cs="宋体"/>
                <w:color w:val="auto"/>
                <w:sz w:val="24"/>
                <w:highlight w:val="none"/>
                <w:lang w:val="en-US" w:eastAsia="zh-CN"/>
              </w:rPr>
              <w:t>1</w:t>
            </w:r>
            <w:r>
              <w:rPr>
                <w:rFonts w:hint="eastAsia" w:ascii="宋体" w:hAnsi="宋体" w:cs="宋体"/>
                <w:color w:val="auto"/>
                <w:sz w:val="24"/>
                <w:highlight w:val="none"/>
                <w:lang w:val="zh-CN"/>
              </w:rPr>
              <w:t>分，扣完为止。</w:t>
            </w:r>
          </w:p>
          <w:p w14:paraId="37A6E897">
            <w:pPr>
              <w:keepNext w:val="0"/>
              <w:keepLines w:val="0"/>
              <w:pageBreakBefore w:val="0"/>
              <w:kinsoku/>
              <w:wordWrap/>
              <w:overflowPunct/>
              <w:topLinePunct w:val="0"/>
              <w:autoSpaceDE/>
              <w:autoSpaceDN/>
              <w:bidi w:val="0"/>
              <w:adjustRightInd/>
              <w:snapToGrid/>
              <w:spacing w:line="37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zh-CN"/>
              </w:rPr>
              <w:t>注：需提供</w:t>
            </w:r>
            <w:r>
              <w:rPr>
                <w:rFonts w:hint="eastAsia" w:ascii="宋体" w:hAnsi="宋体" w:cs="宋体"/>
                <w:color w:val="auto"/>
                <w:sz w:val="24"/>
                <w:highlight w:val="none"/>
                <w:lang w:val="en-US" w:eastAsia="zh-CN"/>
              </w:rPr>
              <w:t>参数</w:t>
            </w:r>
            <w:r>
              <w:rPr>
                <w:rFonts w:hint="eastAsia" w:ascii="宋体" w:hAnsi="宋体" w:cs="宋体"/>
                <w:color w:val="auto"/>
                <w:sz w:val="24"/>
                <w:highlight w:val="none"/>
                <w:lang w:val="zh-CN"/>
              </w:rPr>
              <w:t>偏离表。</w:t>
            </w:r>
          </w:p>
        </w:tc>
        <w:tc>
          <w:tcPr>
            <w:tcW w:w="67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23E02287">
            <w:pPr>
              <w:keepNext w:val="0"/>
              <w:keepLines w:val="0"/>
              <w:pageBreakBefore w:val="0"/>
              <w:kinsoku/>
              <w:wordWrap/>
              <w:overflowPunct/>
              <w:topLinePunct w:val="0"/>
              <w:autoSpaceDE/>
              <w:autoSpaceDN/>
              <w:bidi w:val="0"/>
              <w:adjustRightInd/>
              <w:snapToGrid/>
              <w:spacing w:line="370" w:lineRule="exact"/>
              <w:jc w:val="center"/>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20</w:t>
            </w:r>
          </w:p>
        </w:tc>
      </w:tr>
      <w:tr w14:paraId="10F2F75E">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32" w:type="dxa"/>
            <w:tcBorders>
              <w:top w:val="single" w:color="666666" w:sz="4" w:space="0"/>
              <w:left w:val="single" w:color="666666" w:sz="4" w:space="0"/>
              <w:bottom w:val="single" w:color="666666" w:sz="4" w:space="0"/>
              <w:right w:val="single" w:color="666666" w:sz="4" w:space="0"/>
            </w:tcBorders>
            <w:shd w:val="clear" w:color="auto" w:fill="auto"/>
            <w:vAlign w:val="center"/>
          </w:tcPr>
          <w:p w14:paraId="5646E271">
            <w:pPr>
              <w:keepNext w:val="0"/>
              <w:keepLines w:val="0"/>
              <w:pageBreakBefore w:val="0"/>
              <w:kinsoku/>
              <w:wordWrap/>
              <w:overflowPunct/>
              <w:topLinePunct w:val="0"/>
              <w:autoSpaceDE/>
              <w:autoSpaceDN/>
              <w:bidi w:val="0"/>
              <w:adjustRightInd/>
              <w:snapToGrid/>
              <w:spacing w:line="370" w:lineRule="exact"/>
              <w:jc w:val="center"/>
              <w:rPr>
                <w:rFonts w:ascii="宋体" w:hAnsi="宋体" w:cs="宋体"/>
                <w:color w:val="auto"/>
                <w:sz w:val="24"/>
                <w:highlight w:val="none"/>
              </w:rPr>
            </w:pPr>
            <w:r>
              <w:rPr>
                <w:rFonts w:hint="eastAsia" w:ascii="宋体" w:hAnsi="宋体" w:cs="宋体"/>
                <w:color w:val="auto"/>
                <w:sz w:val="24"/>
                <w:highlight w:val="none"/>
              </w:rPr>
              <w:t>1-2</w:t>
            </w:r>
          </w:p>
        </w:tc>
        <w:tc>
          <w:tcPr>
            <w:tcW w:w="8297" w:type="dxa"/>
            <w:tcBorders>
              <w:top w:val="single" w:color="666666" w:sz="4" w:space="0"/>
              <w:left w:val="single" w:color="666666" w:sz="4" w:space="0"/>
              <w:bottom w:val="single" w:color="666666" w:sz="4" w:space="0"/>
              <w:right w:val="single" w:color="666666" w:sz="4" w:space="0"/>
            </w:tcBorders>
            <w:shd w:val="clear" w:color="auto" w:fill="auto"/>
            <w:vAlign w:val="top"/>
          </w:tcPr>
          <w:p w14:paraId="2ECCE134">
            <w:pPr>
              <w:keepNext w:val="0"/>
              <w:keepLines w:val="0"/>
              <w:pageBreakBefore w:val="0"/>
              <w:kinsoku/>
              <w:wordWrap/>
              <w:overflowPunct/>
              <w:topLinePunct w:val="0"/>
              <w:autoSpaceDE/>
              <w:autoSpaceDN/>
              <w:bidi w:val="0"/>
              <w:adjustRightInd/>
              <w:snapToGrid/>
              <w:spacing w:line="37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cs="宋体"/>
                <w:sz w:val="24"/>
              </w:rPr>
              <w:t>根据</w:t>
            </w:r>
            <w:r>
              <w:rPr>
                <w:rFonts w:hint="eastAsia" w:ascii="宋体" w:hAnsi="宋体" w:cs="宋体"/>
                <w:sz w:val="24"/>
                <w:lang w:val="en-US" w:eastAsia="zh-CN"/>
              </w:rPr>
              <w:t>磋商</w:t>
            </w:r>
            <w:r>
              <w:rPr>
                <w:rFonts w:hint="eastAsia" w:ascii="宋体" w:hAnsi="宋体" w:cs="宋体"/>
                <w:sz w:val="24"/>
              </w:rPr>
              <w:t>供应商针对本项目提供的</w:t>
            </w:r>
            <w:r>
              <w:rPr>
                <w:rFonts w:hint="eastAsia" w:ascii="宋体" w:hAnsi="宋体" w:cs="宋体"/>
                <w:kern w:val="0"/>
                <w:sz w:val="24"/>
                <w:lang w:bidi="ar"/>
              </w:rPr>
              <w:t>供货组织方案（产品出库、产品运输、安装调试措施等）进行评价</w:t>
            </w:r>
            <w:r>
              <w:rPr>
                <w:rFonts w:hint="eastAsia" w:ascii="宋体" w:hAnsi="宋体" w:cs="宋体"/>
                <w:sz w:val="24"/>
              </w:rPr>
              <w:t>：</w:t>
            </w:r>
            <w:r>
              <w:rPr>
                <w:rFonts w:hint="eastAsia" w:ascii="宋体" w:hAnsi="宋体" w:cs="宋体"/>
                <w:kern w:val="0"/>
                <w:sz w:val="24"/>
                <w:lang w:bidi="ar"/>
              </w:rPr>
              <w:t>方案完整详细得</w:t>
            </w:r>
            <w:r>
              <w:rPr>
                <w:rFonts w:hint="eastAsia" w:ascii="宋体" w:hAnsi="宋体" w:cs="宋体"/>
                <w:kern w:val="0"/>
                <w:sz w:val="24"/>
                <w:lang w:val="en-US" w:eastAsia="zh-CN" w:bidi="ar"/>
              </w:rPr>
              <w:t>6</w:t>
            </w:r>
            <w:r>
              <w:rPr>
                <w:rFonts w:hint="eastAsia" w:ascii="宋体" w:hAnsi="宋体" w:cs="宋体"/>
                <w:kern w:val="0"/>
                <w:sz w:val="24"/>
                <w:lang w:bidi="ar"/>
              </w:rPr>
              <w:t>分；方案</w:t>
            </w:r>
            <w:r>
              <w:rPr>
                <w:rFonts w:hint="eastAsia" w:ascii="宋体" w:hAnsi="宋体" w:cs="宋体"/>
                <w:kern w:val="0"/>
                <w:sz w:val="24"/>
                <w:lang w:val="en-US" w:eastAsia="zh-CN" w:bidi="ar"/>
              </w:rPr>
              <w:t>内容简要、基本可行得3分，</w:t>
            </w:r>
            <w:r>
              <w:rPr>
                <w:rFonts w:hint="eastAsia" w:ascii="宋体" w:hAnsi="宋体" w:cs="宋体"/>
                <w:kern w:val="0"/>
                <w:sz w:val="24"/>
                <w:lang w:bidi="ar"/>
              </w:rPr>
              <w:t>方案</w:t>
            </w:r>
            <w:r>
              <w:rPr>
                <w:rFonts w:hint="eastAsia" w:ascii="宋体" w:hAnsi="宋体" w:cs="宋体"/>
                <w:sz w:val="24"/>
              </w:rPr>
              <w:t>要点表述不清或不可行的</w:t>
            </w:r>
            <w:r>
              <w:rPr>
                <w:rFonts w:hint="eastAsia" w:ascii="宋体" w:hAnsi="宋体" w:cs="宋体"/>
                <w:kern w:val="0"/>
                <w:sz w:val="24"/>
                <w:lang w:bidi="ar"/>
              </w:rPr>
              <w:t>不得分。</w:t>
            </w:r>
          </w:p>
        </w:tc>
        <w:tc>
          <w:tcPr>
            <w:tcW w:w="67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0BA3E140">
            <w:pPr>
              <w:keepNext w:val="0"/>
              <w:keepLines w:val="0"/>
              <w:pageBreakBefore w:val="0"/>
              <w:kinsoku/>
              <w:wordWrap/>
              <w:overflowPunct/>
              <w:topLinePunct w:val="0"/>
              <w:autoSpaceDE/>
              <w:autoSpaceDN/>
              <w:bidi w:val="0"/>
              <w:adjustRightInd/>
              <w:snapToGrid/>
              <w:spacing w:line="37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lang w:val="en-US" w:eastAsia="zh-CN"/>
              </w:rPr>
              <w:t>6</w:t>
            </w:r>
          </w:p>
        </w:tc>
      </w:tr>
      <w:tr w14:paraId="7BAB213E">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32" w:type="dxa"/>
            <w:tcBorders>
              <w:top w:val="single" w:color="666666" w:sz="4" w:space="0"/>
              <w:left w:val="single" w:color="666666" w:sz="4" w:space="0"/>
              <w:bottom w:val="single" w:color="666666" w:sz="4" w:space="0"/>
              <w:right w:val="single" w:color="666666" w:sz="4" w:space="0"/>
            </w:tcBorders>
            <w:shd w:val="clear" w:color="auto" w:fill="auto"/>
            <w:vAlign w:val="center"/>
          </w:tcPr>
          <w:p w14:paraId="531B0BD4">
            <w:pPr>
              <w:keepNext w:val="0"/>
              <w:keepLines w:val="0"/>
              <w:pageBreakBefore w:val="0"/>
              <w:kinsoku/>
              <w:wordWrap/>
              <w:overflowPunct/>
              <w:topLinePunct w:val="0"/>
              <w:autoSpaceDE/>
              <w:autoSpaceDN/>
              <w:bidi w:val="0"/>
              <w:adjustRightInd/>
              <w:snapToGrid/>
              <w:spacing w:line="370" w:lineRule="exact"/>
              <w:jc w:val="center"/>
              <w:rPr>
                <w:rFonts w:ascii="宋体" w:hAnsi="宋体" w:cs="宋体"/>
                <w:color w:val="auto"/>
                <w:sz w:val="24"/>
                <w:highlight w:val="none"/>
              </w:rPr>
            </w:pPr>
            <w:r>
              <w:rPr>
                <w:rFonts w:hint="eastAsia" w:ascii="宋体" w:hAnsi="宋体" w:cs="宋体"/>
                <w:color w:val="auto"/>
                <w:sz w:val="24"/>
                <w:highlight w:val="none"/>
              </w:rPr>
              <w:t>1-3</w:t>
            </w:r>
          </w:p>
        </w:tc>
        <w:tc>
          <w:tcPr>
            <w:tcW w:w="8297" w:type="dxa"/>
            <w:tcBorders>
              <w:top w:val="single" w:color="666666" w:sz="4" w:space="0"/>
              <w:left w:val="single" w:color="666666" w:sz="4" w:space="0"/>
              <w:bottom w:val="single" w:color="666666" w:sz="4" w:space="0"/>
              <w:right w:val="single" w:color="666666" w:sz="4" w:space="0"/>
            </w:tcBorders>
            <w:shd w:val="clear" w:color="auto" w:fill="auto"/>
            <w:vAlign w:val="center"/>
          </w:tcPr>
          <w:p w14:paraId="4BD5AED5">
            <w:pPr>
              <w:keepNext w:val="0"/>
              <w:keepLines w:val="0"/>
              <w:widowControl/>
              <w:suppressLineNumbers w:val="0"/>
              <w:jc w:val="left"/>
              <w:rPr>
                <w:rFonts w:hint="eastAsia" w:ascii="宋体" w:hAnsi="宋体" w:cs="宋体" w:eastAsiaTheme="minorEastAsia"/>
                <w:kern w:val="0"/>
                <w:sz w:val="24"/>
                <w:szCs w:val="24"/>
                <w:highlight w:val="none"/>
                <w:lang w:val="zh-CN" w:eastAsia="zh-CN" w:bidi="ar-SA"/>
              </w:rPr>
            </w:pPr>
            <w:r>
              <w:rPr>
                <w:rFonts w:hint="eastAsia" w:ascii="宋体" w:hAnsi="宋体" w:cs="宋体"/>
                <w:sz w:val="24"/>
              </w:rPr>
              <w:t>根据</w:t>
            </w:r>
            <w:r>
              <w:rPr>
                <w:rFonts w:hint="eastAsia" w:ascii="宋体" w:hAnsi="宋体" w:cs="宋体"/>
                <w:sz w:val="24"/>
                <w:lang w:val="en-US" w:eastAsia="zh-CN"/>
              </w:rPr>
              <w:t>磋商</w:t>
            </w:r>
            <w:r>
              <w:rPr>
                <w:rFonts w:hint="eastAsia" w:ascii="宋体" w:hAnsi="宋体" w:cs="宋体"/>
                <w:sz w:val="24"/>
              </w:rPr>
              <w:t>供应商针对本项目提供的</w:t>
            </w:r>
            <w:r>
              <w:rPr>
                <w:rFonts w:hint="eastAsia" w:ascii="宋体" w:hAnsi="宋体" w:cs="宋体"/>
                <w:kern w:val="0"/>
                <w:sz w:val="24"/>
                <w:lang w:bidi="ar"/>
              </w:rPr>
              <w:t>质量保证措施以及提供不合格货物退换方案进行评价：方案完整详细得</w:t>
            </w:r>
            <w:r>
              <w:rPr>
                <w:rFonts w:hint="eastAsia" w:ascii="宋体" w:hAnsi="宋体" w:cs="宋体"/>
                <w:kern w:val="0"/>
                <w:sz w:val="24"/>
                <w:lang w:val="en-US" w:eastAsia="zh-CN" w:bidi="ar"/>
              </w:rPr>
              <w:t>5</w:t>
            </w:r>
            <w:r>
              <w:rPr>
                <w:rFonts w:hint="eastAsia" w:ascii="宋体" w:hAnsi="宋体" w:cs="宋体"/>
                <w:kern w:val="0"/>
                <w:sz w:val="24"/>
                <w:lang w:bidi="ar"/>
              </w:rPr>
              <w:t>分；方案</w:t>
            </w:r>
            <w:r>
              <w:rPr>
                <w:rFonts w:hint="eastAsia" w:ascii="宋体" w:hAnsi="宋体" w:cs="宋体"/>
                <w:kern w:val="0"/>
                <w:sz w:val="24"/>
                <w:lang w:val="en-US" w:eastAsia="zh-CN" w:bidi="ar"/>
              </w:rPr>
              <w:t>内容简要</w:t>
            </w:r>
            <w:r>
              <w:rPr>
                <w:rFonts w:ascii="宋体" w:hAnsi="宋体" w:eastAsia="宋体" w:cs="宋体"/>
                <w:kern w:val="0"/>
                <w:sz w:val="24"/>
                <w:szCs w:val="24"/>
                <w:lang w:val="en-US" w:eastAsia="zh-CN" w:bidi="ar"/>
              </w:rPr>
              <w:t>细节不完善、表述较笼统</w:t>
            </w:r>
            <w:r>
              <w:rPr>
                <w:rFonts w:hint="eastAsia" w:ascii="宋体" w:hAnsi="宋体" w:eastAsia="宋体" w:cs="宋体"/>
                <w:kern w:val="0"/>
                <w:sz w:val="24"/>
                <w:szCs w:val="24"/>
                <w:lang w:val="en-US" w:eastAsia="zh-CN" w:bidi="ar"/>
              </w:rPr>
              <w:t>得2分；</w:t>
            </w:r>
            <w:r>
              <w:rPr>
                <w:rFonts w:hint="eastAsia" w:ascii="宋体" w:hAnsi="宋体" w:cs="宋体"/>
                <w:kern w:val="0"/>
                <w:sz w:val="24"/>
                <w:lang w:bidi="ar"/>
              </w:rPr>
              <w:t>方案</w:t>
            </w:r>
            <w:r>
              <w:rPr>
                <w:rFonts w:hint="eastAsia" w:ascii="宋体" w:hAnsi="宋体" w:cs="宋体"/>
                <w:sz w:val="24"/>
              </w:rPr>
              <w:t>要点表述不清或不可行的</w:t>
            </w:r>
            <w:r>
              <w:rPr>
                <w:rFonts w:hint="eastAsia" w:ascii="宋体" w:hAnsi="宋体" w:cs="宋体"/>
                <w:kern w:val="0"/>
                <w:sz w:val="24"/>
                <w:lang w:bidi="ar"/>
              </w:rPr>
              <w:t>不得分。</w:t>
            </w:r>
          </w:p>
        </w:tc>
        <w:tc>
          <w:tcPr>
            <w:tcW w:w="67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5F2E4C74">
            <w:pPr>
              <w:keepNext w:val="0"/>
              <w:keepLines w:val="0"/>
              <w:pageBreakBefore w:val="0"/>
              <w:widowControl/>
              <w:kinsoku/>
              <w:wordWrap/>
              <w:overflowPunct/>
              <w:topLinePunct w:val="0"/>
              <w:autoSpaceDE/>
              <w:autoSpaceDN/>
              <w:bidi w:val="0"/>
              <w:adjustRightInd/>
              <w:snapToGrid/>
              <w:spacing w:line="370" w:lineRule="exact"/>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5</w:t>
            </w:r>
          </w:p>
        </w:tc>
      </w:tr>
      <w:tr w14:paraId="3FF8D2AA">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32" w:type="dxa"/>
            <w:tcBorders>
              <w:top w:val="single" w:color="666666" w:sz="4" w:space="0"/>
              <w:left w:val="single" w:color="666666" w:sz="4" w:space="0"/>
              <w:bottom w:val="single" w:color="666666" w:sz="4" w:space="0"/>
              <w:right w:val="single" w:color="666666" w:sz="4" w:space="0"/>
            </w:tcBorders>
            <w:shd w:val="clear" w:color="auto" w:fill="auto"/>
            <w:vAlign w:val="center"/>
          </w:tcPr>
          <w:p w14:paraId="1101C047">
            <w:pPr>
              <w:keepNext w:val="0"/>
              <w:keepLines w:val="0"/>
              <w:pageBreakBefore w:val="0"/>
              <w:kinsoku/>
              <w:wordWrap/>
              <w:overflowPunct/>
              <w:topLinePunct w:val="0"/>
              <w:autoSpaceDE/>
              <w:autoSpaceDN/>
              <w:bidi w:val="0"/>
              <w:adjustRightInd/>
              <w:snapToGrid/>
              <w:spacing w:line="370" w:lineRule="exact"/>
              <w:jc w:val="center"/>
              <w:rPr>
                <w:rFonts w:ascii="宋体" w:hAnsi="宋体" w:cs="宋体"/>
                <w:color w:val="auto"/>
                <w:sz w:val="24"/>
                <w:highlight w:val="none"/>
              </w:rPr>
            </w:pPr>
            <w:r>
              <w:rPr>
                <w:rFonts w:hint="eastAsia" w:ascii="宋体" w:hAnsi="宋体" w:cs="宋体"/>
                <w:color w:val="auto"/>
                <w:sz w:val="24"/>
                <w:highlight w:val="none"/>
              </w:rPr>
              <w:t>1-4</w:t>
            </w:r>
          </w:p>
        </w:tc>
        <w:tc>
          <w:tcPr>
            <w:tcW w:w="8297" w:type="dxa"/>
            <w:tcBorders>
              <w:top w:val="single" w:color="666666" w:sz="4" w:space="0"/>
              <w:left w:val="single" w:color="666666" w:sz="4" w:space="0"/>
              <w:bottom w:val="single" w:color="666666" w:sz="4" w:space="0"/>
              <w:right w:val="single" w:color="666666" w:sz="4" w:space="0"/>
            </w:tcBorders>
            <w:shd w:val="clear" w:color="auto" w:fill="auto"/>
            <w:vAlign w:val="center"/>
          </w:tcPr>
          <w:p w14:paraId="45038576">
            <w:pPr>
              <w:keepNext w:val="0"/>
              <w:keepLines w:val="0"/>
              <w:widowControl/>
              <w:suppressLineNumbers w:val="0"/>
              <w:jc w:val="left"/>
              <w:rPr>
                <w:rFonts w:hint="eastAsia" w:ascii="宋体" w:hAnsi="宋体" w:eastAsia="宋体" w:cs="Arial"/>
                <w:bCs/>
                <w:kern w:val="2"/>
                <w:sz w:val="24"/>
                <w:szCs w:val="24"/>
                <w:lang w:val="en-US" w:eastAsia="zh-CN" w:bidi="ar-SA"/>
              </w:rPr>
            </w:pPr>
            <w:r>
              <w:rPr>
                <w:rFonts w:hint="eastAsia" w:ascii="宋体" w:hAnsi="宋体" w:cs="宋体"/>
                <w:sz w:val="24"/>
              </w:rPr>
              <w:t>根据供应商针对本项目提供的</w:t>
            </w:r>
            <w:r>
              <w:rPr>
                <w:rFonts w:hint="eastAsia" w:ascii="宋体" w:hAnsi="宋体" w:cs="宋体"/>
                <w:kern w:val="0"/>
                <w:sz w:val="24"/>
                <w:lang w:bidi="ar"/>
              </w:rPr>
              <w:t>产品供货安排进度、现场安装投入人员及技术力量等情况进行评价：有对供货安排进度、现场安装投入人员及技术力量等情况进行具体、明确、详细描述的，得</w:t>
            </w:r>
            <w:r>
              <w:rPr>
                <w:rFonts w:hint="eastAsia" w:ascii="宋体" w:hAnsi="宋体" w:cs="宋体"/>
                <w:kern w:val="0"/>
                <w:sz w:val="24"/>
                <w:lang w:val="en-US" w:eastAsia="zh-CN" w:bidi="ar"/>
              </w:rPr>
              <w:t>6</w:t>
            </w:r>
            <w:r>
              <w:rPr>
                <w:rFonts w:hint="eastAsia" w:ascii="宋体" w:hAnsi="宋体" w:cs="宋体"/>
                <w:kern w:val="0"/>
                <w:sz w:val="24"/>
                <w:lang w:bidi="ar"/>
              </w:rPr>
              <w:t>分，</w:t>
            </w:r>
            <w:r>
              <w:rPr>
                <w:rFonts w:ascii="宋体" w:hAnsi="宋体" w:eastAsia="宋体" w:cs="宋体"/>
                <w:kern w:val="0"/>
                <w:sz w:val="24"/>
                <w:szCs w:val="24"/>
                <w:lang w:val="en-US" w:eastAsia="zh-CN" w:bidi="ar"/>
              </w:rPr>
              <w:t>提供相关进度、人员及技术配置说明，但内容简略、细化程度不足，基本满足项目需求</w:t>
            </w:r>
            <w:r>
              <w:rPr>
                <w:rFonts w:hint="eastAsia" w:ascii="宋体" w:hAnsi="宋体" w:eastAsia="宋体" w:cs="宋体"/>
                <w:kern w:val="0"/>
                <w:sz w:val="24"/>
                <w:szCs w:val="24"/>
                <w:lang w:val="en-US" w:eastAsia="zh-CN" w:bidi="ar"/>
              </w:rPr>
              <w:t>得3分；</w:t>
            </w:r>
            <w:r>
              <w:rPr>
                <w:rFonts w:hint="eastAsia" w:ascii="宋体" w:hAnsi="宋体" w:cs="宋体"/>
                <w:kern w:val="0"/>
                <w:sz w:val="24"/>
                <w:lang w:bidi="ar"/>
              </w:rPr>
              <w:t>未提供不得分。</w:t>
            </w:r>
          </w:p>
        </w:tc>
        <w:tc>
          <w:tcPr>
            <w:tcW w:w="67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255E6F3C">
            <w:pPr>
              <w:keepNext w:val="0"/>
              <w:keepLines w:val="0"/>
              <w:pageBreakBefore w:val="0"/>
              <w:kinsoku/>
              <w:wordWrap/>
              <w:overflowPunct/>
              <w:topLinePunct w:val="0"/>
              <w:autoSpaceDE/>
              <w:autoSpaceDN/>
              <w:bidi w:val="0"/>
              <w:adjustRightInd/>
              <w:snapToGrid/>
              <w:spacing w:line="370" w:lineRule="exact"/>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w:t>
            </w:r>
          </w:p>
        </w:tc>
      </w:tr>
      <w:tr w14:paraId="63510C0E">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32" w:type="dxa"/>
            <w:tcBorders>
              <w:top w:val="single" w:color="666666" w:sz="4" w:space="0"/>
              <w:left w:val="single" w:color="666666" w:sz="4" w:space="0"/>
              <w:bottom w:val="single" w:color="666666" w:sz="4" w:space="0"/>
              <w:right w:val="single" w:color="666666" w:sz="4" w:space="0"/>
            </w:tcBorders>
            <w:shd w:val="clear" w:color="auto" w:fill="auto"/>
            <w:vAlign w:val="center"/>
          </w:tcPr>
          <w:p w14:paraId="1E5A1ACE">
            <w:pPr>
              <w:keepNext w:val="0"/>
              <w:keepLines w:val="0"/>
              <w:pageBreakBefore w:val="0"/>
              <w:kinsoku/>
              <w:wordWrap/>
              <w:overflowPunct/>
              <w:topLinePunct w:val="0"/>
              <w:autoSpaceDE/>
              <w:autoSpaceDN/>
              <w:bidi w:val="0"/>
              <w:adjustRightInd/>
              <w:snapToGrid/>
              <w:spacing w:line="370" w:lineRule="exact"/>
              <w:jc w:val="center"/>
              <w:rPr>
                <w:rFonts w:ascii="宋体" w:hAnsi="宋体" w:cs="宋体"/>
                <w:color w:val="auto"/>
                <w:sz w:val="24"/>
                <w:highlight w:val="none"/>
              </w:rPr>
            </w:pPr>
            <w:r>
              <w:rPr>
                <w:rFonts w:hint="eastAsia" w:ascii="宋体" w:hAnsi="宋体" w:cs="宋体"/>
                <w:color w:val="auto"/>
                <w:sz w:val="24"/>
                <w:highlight w:val="none"/>
              </w:rPr>
              <w:t>1-5</w:t>
            </w:r>
          </w:p>
        </w:tc>
        <w:tc>
          <w:tcPr>
            <w:tcW w:w="8297" w:type="dxa"/>
            <w:tcBorders>
              <w:top w:val="single" w:color="666666" w:sz="4" w:space="0"/>
              <w:left w:val="single" w:color="666666" w:sz="4" w:space="0"/>
              <w:bottom w:val="single" w:color="666666" w:sz="4" w:space="0"/>
              <w:right w:val="single" w:color="666666" w:sz="4" w:space="0"/>
            </w:tcBorders>
            <w:shd w:val="clear" w:color="auto" w:fill="auto"/>
            <w:vAlign w:val="center"/>
          </w:tcPr>
          <w:p w14:paraId="4CBA42EF">
            <w:pPr>
              <w:keepNext w:val="0"/>
              <w:keepLines w:val="0"/>
              <w:pageBreakBefore w:val="0"/>
              <w:widowControl/>
              <w:kinsoku/>
              <w:wordWrap/>
              <w:overflowPunct/>
              <w:topLinePunct w:val="0"/>
              <w:autoSpaceDE/>
              <w:autoSpaceDN/>
              <w:bidi w:val="0"/>
              <w:adjustRightInd w:val="0"/>
              <w:snapToGrid w:val="0"/>
              <w:spacing w:line="370" w:lineRule="exact"/>
              <w:rPr>
                <w:rFonts w:hint="eastAsia" w:ascii="宋体" w:hAnsi="宋体" w:eastAsia="宋体" w:cs="Arial"/>
                <w:bCs/>
                <w:kern w:val="2"/>
                <w:sz w:val="24"/>
                <w:szCs w:val="24"/>
                <w:lang w:val="en-US" w:eastAsia="zh-CN" w:bidi="ar-SA"/>
              </w:rPr>
            </w:pPr>
            <w:r>
              <w:rPr>
                <w:rFonts w:hint="eastAsia" w:ascii="宋体" w:hAnsi="宋体" w:cs="宋体"/>
                <w:color w:val="000000"/>
                <w:kern w:val="0"/>
                <w:sz w:val="24"/>
                <w:lang w:val="en-US" w:eastAsia="zh-CN"/>
              </w:rPr>
              <w:t>磋商</w:t>
            </w:r>
            <w:r>
              <w:rPr>
                <w:rFonts w:hint="eastAsia" w:ascii="宋体" w:hAnsi="宋体" w:cs="宋体"/>
                <w:color w:val="000000"/>
                <w:kern w:val="0"/>
                <w:sz w:val="24"/>
              </w:rPr>
              <w:t>供应商</w:t>
            </w:r>
            <w:r>
              <w:rPr>
                <w:rFonts w:hint="eastAsia" w:ascii="Times New Roman" w:hAnsi="Times New Roman" w:eastAsia="宋体" w:cs="Times New Roman"/>
                <w:i w:val="0"/>
                <w:iCs w:val="0"/>
                <w:caps w:val="0"/>
                <w:color w:val="auto"/>
                <w:spacing w:val="0"/>
                <w:kern w:val="0"/>
                <w:sz w:val="24"/>
                <w:szCs w:val="24"/>
                <w:shd w:val="clear" w:color="auto" w:fill="FFFFFF"/>
                <w:vertAlign w:val="baseline"/>
                <w:lang w:val="en-US" w:eastAsia="zh-CN" w:bidi="ar"/>
              </w:rPr>
              <w:t>具有质量管理体系认证证书、环境管理体系认证证书、职业健康安全</w:t>
            </w:r>
            <w:r>
              <w:rPr>
                <w:rFonts w:hint="eastAsia" w:ascii="宋体" w:hAnsi="宋体" w:eastAsia="宋体" w:cs="宋体"/>
                <w:color w:val="000000"/>
                <w:kern w:val="0"/>
                <w:sz w:val="24"/>
                <w:szCs w:val="24"/>
                <w:lang w:val="en-US" w:eastAsia="zh-CN" w:bidi="ar-SA"/>
              </w:rPr>
              <w:t>管理</w:t>
            </w:r>
            <w:r>
              <w:rPr>
                <w:rFonts w:hint="eastAsia" w:ascii="Times New Roman" w:hAnsi="Times New Roman" w:eastAsia="宋体" w:cs="Times New Roman"/>
                <w:i w:val="0"/>
                <w:iCs w:val="0"/>
                <w:caps w:val="0"/>
                <w:color w:val="auto"/>
                <w:spacing w:val="0"/>
                <w:kern w:val="0"/>
                <w:sz w:val="24"/>
                <w:szCs w:val="24"/>
                <w:shd w:val="clear" w:color="auto" w:fill="FFFFFF"/>
                <w:vertAlign w:val="baseline"/>
                <w:lang w:val="en-US" w:eastAsia="zh-CN" w:bidi="ar"/>
              </w:rPr>
              <w:t>体系认证证书</w:t>
            </w:r>
            <w:r>
              <w:rPr>
                <w:rFonts w:hint="default" w:ascii="Times New Roman" w:hAnsi="Times New Roman" w:eastAsia="宋体" w:cs="Times New Roman"/>
                <w:i w:val="0"/>
                <w:iCs w:val="0"/>
                <w:caps w:val="0"/>
                <w:color w:val="auto"/>
                <w:spacing w:val="0"/>
                <w:kern w:val="0"/>
                <w:sz w:val="24"/>
                <w:szCs w:val="24"/>
                <w:shd w:val="clear" w:color="auto" w:fill="FFFFFF"/>
                <w:vertAlign w:val="baseline"/>
                <w:lang w:val="en-US" w:eastAsia="zh-CN" w:bidi="ar"/>
              </w:rPr>
              <w:t>；</w:t>
            </w:r>
            <w:r>
              <w:rPr>
                <w:rFonts w:hint="eastAsia" w:ascii="Times New Roman" w:hAnsi="Times New Roman" w:eastAsia="宋体" w:cs="Times New Roman"/>
                <w:i w:val="0"/>
                <w:iCs w:val="0"/>
                <w:caps w:val="0"/>
                <w:color w:val="auto"/>
                <w:spacing w:val="0"/>
                <w:kern w:val="0"/>
                <w:sz w:val="24"/>
                <w:szCs w:val="24"/>
                <w:shd w:val="clear" w:color="auto" w:fill="FFFFFF"/>
                <w:vertAlign w:val="baseline"/>
                <w:lang w:val="en-US" w:eastAsia="zh-CN" w:bidi="ar"/>
              </w:rPr>
              <w:t>每提供一个</w:t>
            </w:r>
            <w:r>
              <w:rPr>
                <w:rFonts w:hint="eastAsia" w:ascii="宋体" w:hAnsi="宋体" w:cs="宋体"/>
                <w:color w:val="000000"/>
                <w:kern w:val="0"/>
                <w:sz w:val="24"/>
              </w:rPr>
              <w:t>得</w:t>
            </w:r>
            <w:r>
              <w:rPr>
                <w:rFonts w:hint="eastAsia" w:ascii="宋体" w:hAnsi="宋体" w:cs="宋体"/>
                <w:color w:val="000000"/>
                <w:kern w:val="0"/>
                <w:sz w:val="24"/>
                <w:lang w:val="en-US" w:eastAsia="zh-CN"/>
              </w:rPr>
              <w:t>2</w:t>
            </w:r>
            <w:r>
              <w:rPr>
                <w:rFonts w:hint="eastAsia" w:ascii="宋体" w:hAnsi="宋体" w:cs="宋体"/>
                <w:color w:val="000000"/>
                <w:kern w:val="0"/>
                <w:sz w:val="24"/>
              </w:rPr>
              <w:t>分；未提供得0分。</w:t>
            </w:r>
          </w:p>
        </w:tc>
        <w:tc>
          <w:tcPr>
            <w:tcW w:w="67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2280BA00">
            <w:pPr>
              <w:keepNext w:val="0"/>
              <w:keepLines w:val="0"/>
              <w:pageBreakBefore w:val="0"/>
              <w:kinsoku/>
              <w:wordWrap/>
              <w:overflowPunct/>
              <w:topLinePunct w:val="0"/>
              <w:autoSpaceDE/>
              <w:autoSpaceDN/>
              <w:bidi w:val="0"/>
              <w:adjustRightInd/>
              <w:snapToGrid/>
              <w:spacing w:line="370" w:lineRule="exact"/>
              <w:jc w:val="center"/>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6</w:t>
            </w:r>
          </w:p>
        </w:tc>
      </w:tr>
      <w:tr w14:paraId="5927BC04">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32" w:type="dxa"/>
            <w:tcBorders>
              <w:top w:val="single" w:color="666666" w:sz="4" w:space="0"/>
              <w:left w:val="single" w:color="666666" w:sz="4" w:space="0"/>
              <w:bottom w:val="single" w:color="666666" w:sz="4" w:space="0"/>
              <w:right w:val="single" w:color="666666" w:sz="4" w:space="0"/>
            </w:tcBorders>
            <w:shd w:val="clear" w:color="auto" w:fill="auto"/>
            <w:vAlign w:val="center"/>
          </w:tcPr>
          <w:p w14:paraId="1F295952">
            <w:pPr>
              <w:keepNext w:val="0"/>
              <w:keepLines w:val="0"/>
              <w:pageBreakBefore w:val="0"/>
              <w:kinsoku/>
              <w:wordWrap/>
              <w:overflowPunct/>
              <w:topLinePunct w:val="0"/>
              <w:autoSpaceDE/>
              <w:autoSpaceDN/>
              <w:bidi w:val="0"/>
              <w:adjustRightInd/>
              <w:snapToGrid/>
              <w:spacing w:line="370" w:lineRule="exact"/>
              <w:jc w:val="center"/>
              <w:rPr>
                <w:rFonts w:hint="eastAsia" w:ascii="宋体" w:hAnsi="宋体" w:cs="宋体" w:eastAsiaTheme="minorEastAsia"/>
                <w:color w:val="auto"/>
                <w:kern w:val="2"/>
                <w:sz w:val="24"/>
                <w:szCs w:val="24"/>
                <w:highlight w:val="none"/>
                <w:lang w:val="en-US" w:eastAsia="zh-CN" w:bidi="ar-SA"/>
              </w:rPr>
            </w:pPr>
            <w:r>
              <w:rPr>
                <w:rFonts w:hint="eastAsia" w:ascii="宋体" w:hAnsi="宋体" w:cs="宋体"/>
                <w:color w:val="auto"/>
                <w:sz w:val="24"/>
                <w:highlight w:val="none"/>
              </w:rPr>
              <w:t>1-6</w:t>
            </w:r>
          </w:p>
        </w:tc>
        <w:tc>
          <w:tcPr>
            <w:tcW w:w="8297" w:type="dxa"/>
            <w:tcBorders>
              <w:top w:val="single" w:color="666666" w:sz="4" w:space="0"/>
              <w:left w:val="single" w:color="666666" w:sz="4" w:space="0"/>
              <w:bottom w:val="single" w:color="666666" w:sz="4" w:space="0"/>
              <w:right w:val="single" w:color="666666" w:sz="4" w:space="0"/>
            </w:tcBorders>
            <w:shd w:val="clear" w:color="auto" w:fill="auto"/>
            <w:vAlign w:val="center"/>
          </w:tcPr>
          <w:p w14:paraId="05A56E3C">
            <w:pPr>
              <w:keepNext w:val="0"/>
              <w:keepLines w:val="0"/>
              <w:pageBreakBefore w:val="0"/>
              <w:widowControl w:val="0"/>
              <w:kinsoku/>
              <w:wordWrap/>
              <w:overflowPunct/>
              <w:topLinePunct w:val="0"/>
              <w:autoSpaceDE/>
              <w:autoSpaceDN/>
              <w:bidi w:val="0"/>
              <w:adjustRightInd/>
              <w:snapToGrid/>
              <w:spacing w:line="370" w:lineRule="exact"/>
              <w:textAlignment w:val="auto"/>
              <w:rPr>
                <w:rFonts w:hint="eastAsia" w:ascii="宋体" w:hAnsi="宋体" w:eastAsia="宋体" w:cs="宋体"/>
                <w:kern w:val="0"/>
                <w:sz w:val="24"/>
                <w:szCs w:val="24"/>
                <w:highlight w:val="none"/>
                <w:lang w:val="zh-CN" w:eastAsia="zh-CN" w:bidi="ar-SA"/>
              </w:rPr>
            </w:pPr>
            <w:r>
              <w:rPr>
                <w:rFonts w:hint="eastAsia" w:ascii="宋体" w:hAnsi="宋体" w:cs="宋体"/>
                <w:kern w:val="0"/>
                <w:sz w:val="24"/>
                <w:highlight w:val="none"/>
              </w:rPr>
              <w:t>供应商或所投产品制造商具有有效期内家具产品有害物质限量认证证书，认证单元包括：木家具、软体家具、钢木家具、金属家具4种类别的得</w:t>
            </w:r>
            <w:r>
              <w:rPr>
                <w:rFonts w:hint="eastAsia" w:ascii="宋体" w:hAnsi="宋体" w:cs="宋体"/>
                <w:kern w:val="0"/>
                <w:sz w:val="24"/>
                <w:highlight w:val="none"/>
                <w:lang w:val="en-US" w:eastAsia="zh-CN"/>
              </w:rPr>
              <w:t>4</w:t>
            </w:r>
            <w:r>
              <w:rPr>
                <w:rFonts w:hint="eastAsia" w:ascii="宋体" w:hAnsi="宋体" w:cs="宋体"/>
                <w:kern w:val="0"/>
                <w:sz w:val="24"/>
                <w:highlight w:val="none"/>
              </w:rPr>
              <w:t>分，需提供证书复印件，否则不得分。</w:t>
            </w:r>
          </w:p>
        </w:tc>
        <w:tc>
          <w:tcPr>
            <w:tcW w:w="67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6C1040EF">
            <w:pPr>
              <w:keepNext w:val="0"/>
              <w:keepLines w:val="0"/>
              <w:pageBreakBefore w:val="0"/>
              <w:kinsoku/>
              <w:wordWrap/>
              <w:overflowPunct/>
              <w:topLinePunct w:val="0"/>
              <w:autoSpaceDE/>
              <w:autoSpaceDN/>
              <w:bidi w:val="0"/>
              <w:adjustRightInd/>
              <w:snapToGrid/>
              <w:spacing w:line="37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r>
      <w:tr w14:paraId="72C4CA24">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32" w:type="dxa"/>
            <w:tcBorders>
              <w:top w:val="single" w:color="666666" w:sz="4" w:space="0"/>
              <w:left w:val="single" w:color="666666" w:sz="4" w:space="0"/>
              <w:bottom w:val="single" w:color="666666" w:sz="4" w:space="0"/>
              <w:right w:val="single" w:color="666666" w:sz="4" w:space="0"/>
            </w:tcBorders>
            <w:shd w:val="clear" w:color="auto" w:fill="auto"/>
            <w:vAlign w:val="center"/>
          </w:tcPr>
          <w:p w14:paraId="71017270">
            <w:pPr>
              <w:keepNext w:val="0"/>
              <w:keepLines w:val="0"/>
              <w:pageBreakBefore w:val="0"/>
              <w:kinsoku/>
              <w:wordWrap/>
              <w:overflowPunct/>
              <w:topLinePunct w:val="0"/>
              <w:autoSpaceDE/>
              <w:autoSpaceDN/>
              <w:bidi w:val="0"/>
              <w:adjustRightInd/>
              <w:snapToGrid/>
              <w:spacing w:line="370" w:lineRule="exact"/>
              <w:jc w:val="center"/>
              <w:rPr>
                <w:rFonts w:ascii="宋体" w:hAnsi="宋体" w:cs="宋体" w:eastAsiaTheme="minorEastAsia"/>
                <w:color w:val="auto"/>
                <w:kern w:val="2"/>
                <w:sz w:val="24"/>
                <w:szCs w:val="24"/>
                <w:highlight w:val="none"/>
                <w:lang w:val="en-US" w:eastAsia="zh-CN" w:bidi="ar-SA"/>
              </w:rPr>
            </w:pPr>
            <w:r>
              <w:rPr>
                <w:rFonts w:hint="eastAsia" w:ascii="宋体" w:hAnsi="宋体" w:cs="宋体"/>
                <w:color w:val="auto"/>
                <w:sz w:val="24"/>
                <w:highlight w:val="none"/>
              </w:rPr>
              <w:t>1-7</w:t>
            </w:r>
          </w:p>
        </w:tc>
        <w:tc>
          <w:tcPr>
            <w:tcW w:w="8297" w:type="dxa"/>
            <w:tcBorders>
              <w:top w:val="single" w:color="666666" w:sz="4" w:space="0"/>
              <w:left w:val="single" w:color="666666" w:sz="4" w:space="0"/>
              <w:bottom w:val="single" w:color="666666" w:sz="4" w:space="0"/>
              <w:right w:val="single" w:color="666666" w:sz="4" w:space="0"/>
            </w:tcBorders>
            <w:shd w:val="clear" w:color="auto" w:fill="auto"/>
            <w:vAlign w:val="center"/>
          </w:tcPr>
          <w:p w14:paraId="762F4518">
            <w:pPr>
              <w:keepNext w:val="0"/>
              <w:keepLines w:val="0"/>
              <w:pageBreakBefore w:val="0"/>
              <w:widowControl w:val="0"/>
              <w:kinsoku/>
              <w:wordWrap/>
              <w:overflowPunct/>
              <w:topLinePunct w:val="0"/>
              <w:autoSpaceDE/>
              <w:autoSpaceDN/>
              <w:bidi w:val="0"/>
              <w:adjustRightInd/>
              <w:snapToGrid/>
              <w:spacing w:line="370" w:lineRule="exact"/>
              <w:textAlignment w:val="auto"/>
              <w:rPr>
                <w:rFonts w:hint="eastAsia" w:ascii="宋体" w:hAnsi="宋体" w:eastAsia="宋体" w:cs="宋体"/>
                <w:kern w:val="0"/>
                <w:sz w:val="24"/>
                <w:szCs w:val="24"/>
                <w:highlight w:val="none"/>
                <w:lang w:val="en-US" w:eastAsia="zh-CN" w:bidi="ar-SA"/>
              </w:rPr>
            </w:pPr>
            <w:r>
              <w:rPr>
                <w:rFonts w:hint="eastAsia" w:ascii="宋体" w:hAnsi="宋体" w:cs="宋体"/>
                <w:kern w:val="0"/>
                <w:sz w:val="24"/>
                <w:highlight w:val="none"/>
              </w:rPr>
              <w:t>供应商或所投产品制造商具有有效期内低VOCs家具产品认证证书，认证单元包括：木家具、软体家具、钢木家具、金属家具4种类别的得</w:t>
            </w:r>
            <w:r>
              <w:rPr>
                <w:rFonts w:hint="eastAsia" w:ascii="宋体" w:hAnsi="宋体" w:cs="宋体"/>
                <w:kern w:val="0"/>
                <w:sz w:val="24"/>
                <w:highlight w:val="none"/>
                <w:lang w:val="en-US" w:eastAsia="zh-CN"/>
              </w:rPr>
              <w:t>4</w:t>
            </w:r>
            <w:r>
              <w:rPr>
                <w:rFonts w:hint="eastAsia" w:ascii="宋体" w:hAnsi="宋体" w:cs="宋体"/>
                <w:kern w:val="0"/>
                <w:sz w:val="24"/>
                <w:highlight w:val="none"/>
              </w:rPr>
              <w:t>分，需提供证书复印件，否则不得分。</w:t>
            </w:r>
          </w:p>
        </w:tc>
        <w:tc>
          <w:tcPr>
            <w:tcW w:w="67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15AFDBA3">
            <w:pPr>
              <w:keepNext w:val="0"/>
              <w:keepLines w:val="0"/>
              <w:pageBreakBefore w:val="0"/>
              <w:kinsoku/>
              <w:wordWrap/>
              <w:overflowPunct/>
              <w:topLinePunct w:val="0"/>
              <w:autoSpaceDE/>
              <w:autoSpaceDN/>
              <w:bidi w:val="0"/>
              <w:adjustRightInd/>
              <w:snapToGrid/>
              <w:spacing w:line="370" w:lineRule="exact"/>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w:t>
            </w:r>
          </w:p>
        </w:tc>
      </w:tr>
      <w:tr w14:paraId="6620A04E">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32" w:type="dxa"/>
            <w:tcBorders>
              <w:top w:val="single" w:color="666666" w:sz="4" w:space="0"/>
              <w:left w:val="single" w:color="666666" w:sz="4" w:space="0"/>
              <w:bottom w:val="single" w:color="666666" w:sz="4" w:space="0"/>
              <w:right w:val="single" w:color="666666" w:sz="4" w:space="0"/>
            </w:tcBorders>
            <w:shd w:val="clear" w:color="auto" w:fill="auto"/>
            <w:vAlign w:val="center"/>
          </w:tcPr>
          <w:p w14:paraId="44D3F697">
            <w:pPr>
              <w:keepNext w:val="0"/>
              <w:keepLines w:val="0"/>
              <w:pageBreakBefore w:val="0"/>
              <w:kinsoku/>
              <w:wordWrap/>
              <w:overflowPunct/>
              <w:topLinePunct w:val="0"/>
              <w:autoSpaceDE/>
              <w:autoSpaceDN/>
              <w:bidi w:val="0"/>
              <w:adjustRightInd/>
              <w:snapToGrid/>
              <w:spacing w:line="370" w:lineRule="exact"/>
              <w:jc w:val="center"/>
              <w:rPr>
                <w:rFonts w:ascii="宋体" w:hAnsi="宋体" w:cs="宋体" w:eastAsiaTheme="minorEastAsia"/>
                <w:color w:val="auto"/>
                <w:kern w:val="2"/>
                <w:sz w:val="24"/>
                <w:szCs w:val="24"/>
                <w:highlight w:val="none"/>
                <w:lang w:val="en-US" w:eastAsia="zh-CN" w:bidi="ar-SA"/>
              </w:rPr>
            </w:pPr>
            <w:r>
              <w:rPr>
                <w:rFonts w:hint="eastAsia" w:ascii="宋体" w:hAnsi="宋体" w:cs="宋体"/>
                <w:color w:val="auto"/>
                <w:sz w:val="24"/>
                <w:highlight w:val="none"/>
              </w:rPr>
              <w:t>1-8</w:t>
            </w:r>
          </w:p>
        </w:tc>
        <w:tc>
          <w:tcPr>
            <w:tcW w:w="8297" w:type="dxa"/>
            <w:tcBorders>
              <w:top w:val="single" w:color="666666" w:sz="4" w:space="0"/>
              <w:left w:val="single" w:color="666666" w:sz="4" w:space="0"/>
              <w:bottom w:val="single" w:color="666666" w:sz="4" w:space="0"/>
              <w:right w:val="single" w:color="666666" w:sz="4" w:space="0"/>
            </w:tcBorders>
            <w:shd w:val="clear" w:color="auto" w:fill="auto"/>
            <w:vAlign w:val="center"/>
          </w:tcPr>
          <w:p w14:paraId="4A442BCD">
            <w:pPr>
              <w:keepNext w:val="0"/>
              <w:keepLines w:val="0"/>
              <w:pageBreakBefore w:val="0"/>
              <w:widowControl w:val="0"/>
              <w:kinsoku/>
              <w:wordWrap/>
              <w:overflowPunct/>
              <w:topLinePunct w:val="0"/>
              <w:autoSpaceDE/>
              <w:autoSpaceDN/>
              <w:bidi w:val="0"/>
              <w:adjustRightInd/>
              <w:snapToGrid/>
              <w:spacing w:line="370" w:lineRule="exact"/>
              <w:textAlignment w:val="auto"/>
              <w:rPr>
                <w:rFonts w:hint="eastAsia" w:ascii="宋体" w:hAnsi="宋体" w:eastAsia="宋体" w:cs="宋体"/>
                <w:kern w:val="0"/>
                <w:sz w:val="24"/>
                <w:szCs w:val="24"/>
                <w:highlight w:val="none"/>
                <w:lang w:val="en-US" w:eastAsia="zh-CN" w:bidi="ar-SA"/>
              </w:rPr>
            </w:pPr>
            <w:r>
              <w:rPr>
                <w:rFonts w:hint="eastAsia" w:ascii="宋体" w:hAnsi="宋体" w:cs="宋体"/>
                <w:kern w:val="0"/>
                <w:sz w:val="24"/>
                <w:highlight w:val="none"/>
              </w:rPr>
              <w:t>供应商或所投产品制造商具有有效期内人类工效学认证证书，认证单元包括：桌台类、柜架类、沙发类3种类别的得</w:t>
            </w:r>
            <w:r>
              <w:rPr>
                <w:rFonts w:hint="eastAsia" w:ascii="宋体" w:hAnsi="宋体" w:cs="宋体"/>
                <w:kern w:val="0"/>
                <w:sz w:val="24"/>
                <w:highlight w:val="none"/>
                <w:lang w:val="en-US" w:eastAsia="zh-CN"/>
              </w:rPr>
              <w:t>4</w:t>
            </w:r>
            <w:r>
              <w:rPr>
                <w:rFonts w:hint="eastAsia" w:ascii="宋体" w:hAnsi="宋体" w:cs="宋体"/>
                <w:kern w:val="0"/>
                <w:sz w:val="24"/>
                <w:highlight w:val="none"/>
              </w:rPr>
              <w:t>分，需提供证书复印件，否则不得分。</w:t>
            </w:r>
          </w:p>
        </w:tc>
        <w:tc>
          <w:tcPr>
            <w:tcW w:w="67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04B05400">
            <w:pPr>
              <w:keepNext w:val="0"/>
              <w:keepLines w:val="0"/>
              <w:pageBreakBefore w:val="0"/>
              <w:widowControl/>
              <w:kinsoku/>
              <w:wordWrap/>
              <w:overflowPunct/>
              <w:topLinePunct w:val="0"/>
              <w:autoSpaceDE/>
              <w:autoSpaceDN/>
              <w:bidi w:val="0"/>
              <w:adjustRightInd/>
              <w:snapToGrid/>
              <w:spacing w:line="370" w:lineRule="exact"/>
              <w:jc w:val="center"/>
              <w:textAlignment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w:t>
            </w:r>
          </w:p>
        </w:tc>
      </w:tr>
      <w:tr w14:paraId="2DB9E13A">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32" w:type="dxa"/>
            <w:tcBorders>
              <w:top w:val="single" w:color="666666" w:sz="4" w:space="0"/>
              <w:left w:val="single" w:color="666666" w:sz="4" w:space="0"/>
              <w:bottom w:val="single" w:color="666666" w:sz="4" w:space="0"/>
              <w:right w:val="single" w:color="666666" w:sz="4" w:space="0"/>
            </w:tcBorders>
            <w:shd w:val="clear" w:color="auto" w:fill="auto"/>
            <w:vAlign w:val="center"/>
          </w:tcPr>
          <w:p w14:paraId="1ABA16E7">
            <w:pPr>
              <w:keepNext w:val="0"/>
              <w:keepLines w:val="0"/>
              <w:pageBreakBefore w:val="0"/>
              <w:kinsoku/>
              <w:wordWrap/>
              <w:overflowPunct/>
              <w:topLinePunct w:val="0"/>
              <w:autoSpaceDE/>
              <w:autoSpaceDN/>
              <w:bidi w:val="0"/>
              <w:adjustRightInd/>
              <w:snapToGrid/>
              <w:spacing w:line="370" w:lineRule="exact"/>
              <w:jc w:val="center"/>
              <w:rPr>
                <w:rFonts w:ascii="宋体" w:hAnsi="宋体" w:cs="宋体" w:eastAsiaTheme="minorEastAsia"/>
                <w:color w:val="auto"/>
                <w:kern w:val="2"/>
                <w:sz w:val="24"/>
                <w:szCs w:val="24"/>
                <w:highlight w:val="none"/>
                <w:lang w:val="en-US" w:eastAsia="zh-CN" w:bidi="ar-SA"/>
              </w:rPr>
            </w:pPr>
            <w:r>
              <w:rPr>
                <w:rFonts w:hint="eastAsia" w:ascii="宋体" w:hAnsi="宋体" w:cs="宋体"/>
                <w:color w:val="auto"/>
                <w:sz w:val="24"/>
                <w:highlight w:val="none"/>
              </w:rPr>
              <w:t>1-9</w:t>
            </w:r>
          </w:p>
        </w:tc>
        <w:tc>
          <w:tcPr>
            <w:tcW w:w="8297" w:type="dxa"/>
            <w:tcBorders>
              <w:top w:val="single" w:color="666666" w:sz="4" w:space="0"/>
              <w:left w:val="single" w:color="666666" w:sz="4" w:space="0"/>
              <w:bottom w:val="single" w:color="666666" w:sz="4" w:space="0"/>
              <w:right w:val="single" w:color="666666" w:sz="4" w:space="0"/>
            </w:tcBorders>
            <w:shd w:val="clear" w:color="auto" w:fill="auto"/>
            <w:vAlign w:val="center"/>
          </w:tcPr>
          <w:p w14:paraId="73A01F11">
            <w:pPr>
              <w:keepNext w:val="0"/>
              <w:keepLines w:val="0"/>
              <w:pageBreakBefore w:val="0"/>
              <w:widowControl w:val="0"/>
              <w:kinsoku/>
              <w:wordWrap/>
              <w:overflowPunct/>
              <w:topLinePunct w:val="0"/>
              <w:autoSpaceDE/>
              <w:autoSpaceDN/>
              <w:bidi w:val="0"/>
              <w:adjustRightInd/>
              <w:snapToGrid/>
              <w:spacing w:line="370" w:lineRule="exact"/>
              <w:textAlignment w:val="auto"/>
              <w:rPr>
                <w:rFonts w:hint="eastAsia" w:ascii="宋体" w:hAnsi="宋体" w:eastAsia="宋体" w:cs="宋体"/>
                <w:kern w:val="0"/>
                <w:sz w:val="24"/>
                <w:szCs w:val="24"/>
                <w:highlight w:val="none"/>
                <w:lang w:val="en-US" w:eastAsia="zh-CN" w:bidi="ar-SA"/>
              </w:rPr>
            </w:pPr>
            <w:r>
              <w:rPr>
                <w:rFonts w:hint="eastAsia" w:ascii="宋体" w:hAnsi="宋体" w:cs="宋体"/>
                <w:kern w:val="0"/>
                <w:sz w:val="24"/>
                <w:highlight w:val="none"/>
              </w:rPr>
              <w:t>供应商或所投产品制造商具有有效期内产品防腐蚀认证证书，认证单元包括：钢木家具、金属家具2种类别的得</w:t>
            </w:r>
            <w:r>
              <w:rPr>
                <w:rFonts w:hint="eastAsia" w:ascii="宋体" w:hAnsi="宋体" w:cs="宋体"/>
                <w:kern w:val="0"/>
                <w:sz w:val="24"/>
                <w:highlight w:val="none"/>
                <w:lang w:val="en-US" w:eastAsia="zh-CN"/>
              </w:rPr>
              <w:t>4</w:t>
            </w:r>
            <w:r>
              <w:rPr>
                <w:rFonts w:hint="eastAsia" w:ascii="宋体" w:hAnsi="宋体" w:cs="宋体"/>
                <w:kern w:val="0"/>
                <w:sz w:val="24"/>
                <w:highlight w:val="none"/>
              </w:rPr>
              <w:t>分，需提供证书复印件，否则不得分。</w:t>
            </w:r>
          </w:p>
        </w:tc>
        <w:tc>
          <w:tcPr>
            <w:tcW w:w="67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66BAEC63">
            <w:pPr>
              <w:keepNext w:val="0"/>
              <w:keepLines w:val="0"/>
              <w:pageBreakBefore w:val="0"/>
              <w:widowControl/>
              <w:kinsoku/>
              <w:wordWrap/>
              <w:overflowPunct/>
              <w:topLinePunct w:val="0"/>
              <w:autoSpaceDE/>
              <w:autoSpaceDN/>
              <w:bidi w:val="0"/>
              <w:adjustRightInd/>
              <w:snapToGrid/>
              <w:spacing w:line="370" w:lineRule="exact"/>
              <w:jc w:val="center"/>
              <w:textAlignment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w:t>
            </w:r>
          </w:p>
        </w:tc>
      </w:tr>
      <w:tr w14:paraId="3604A619">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32" w:type="dxa"/>
            <w:tcBorders>
              <w:top w:val="single" w:color="666666" w:sz="4" w:space="0"/>
              <w:left w:val="single" w:color="666666" w:sz="4" w:space="0"/>
              <w:bottom w:val="single" w:color="666666" w:sz="4" w:space="0"/>
              <w:right w:val="single" w:color="666666" w:sz="4" w:space="0"/>
            </w:tcBorders>
            <w:shd w:val="clear" w:color="auto" w:fill="auto"/>
            <w:vAlign w:val="center"/>
          </w:tcPr>
          <w:p w14:paraId="541D1D73">
            <w:pPr>
              <w:keepNext w:val="0"/>
              <w:keepLines w:val="0"/>
              <w:pageBreakBefore w:val="0"/>
              <w:kinsoku/>
              <w:wordWrap/>
              <w:overflowPunct/>
              <w:topLinePunct w:val="0"/>
              <w:autoSpaceDE/>
              <w:autoSpaceDN/>
              <w:bidi w:val="0"/>
              <w:adjustRightInd/>
              <w:snapToGrid/>
              <w:spacing w:line="370" w:lineRule="exact"/>
              <w:jc w:val="center"/>
              <w:rPr>
                <w:rFonts w:ascii="宋体" w:hAnsi="宋体" w:cs="宋体" w:eastAsiaTheme="minorEastAsia"/>
                <w:color w:val="auto"/>
                <w:kern w:val="2"/>
                <w:sz w:val="24"/>
                <w:szCs w:val="24"/>
                <w:highlight w:val="none"/>
                <w:lang w:val="en-US" w:eastAsia="zh-CN" w:bidi="ar-SA"/>
              </w:rPr>
            </w:pPr>
            <w:r>
              <w:rPr>
                <w:rFonts w:hint="eastAsia" w:ascii="宋体" w:hAnsi="宋体" w:cs="宋体"/>
                <w:color w:val="auto"/>
                <w:sz w:val="24"/>
                <w:highlight w:val="none"/>
              </w:rPr>
              <w:t>1-10</w:t>
            </w:r>
          </w:p>
        </w:tc>
        <w:tc>
          <w:tcPr>
            <w:tcW w:w="8297" w:type="dxa"/>
            <w:tcBorders>
              <w:top w:val="single" w:color="666666" w:sz="4" w:space="0"/>
              <w:left w:val="single" w:color="666666" w:sz="4" w:space="0"/>
              <w:bottom w:val="single" w:color="666666" w:sz="4" w:space="0"/>
              <w:right w:val="single" w:color="666666" w:sz="4" w:space="0"/>
            </w:tcBorders>
            <w:shd w:val="clear" w:color="auto" w:fill="auto"/>
            <w:vAlign w:val="center"/>
          </w:tcPr>
          <w:p w14:paraId="4616854A">
            <w:pPr>
              <w:keepNext w:val="0"/>
              <w:keepLines w:val="0"/>
              <w:pageBreakBefore w:val="0"/>
              <w:widowControl w:val="0"/>
              <w:kinsoku/>
              <w:wordWrap/>
              <w:overflowPunct/>
              <w:topLinePunct w:val="0"/>
              <w:autoSpaceDE/>
              <w:autoSpaceDN/>
              <w:bidi w:val="0"/>
              <w:adjustRightInd/>
              <w:snapToGrid/>
              <w:spacing w:line="370" w:lineRule="exact"/>
              <w:textAlignment w:val="auto"/>
              <w:rPr>
                <w:rFonts w:ascii="宋体" w:hAnsi="宋体" w:cs="宋体"/>
                <w:kern w:val="0"/>
                <w:sz w:val="24"/>
                <w:highlight w:val="none"/>
              </w:rPr>
            </w:pPr>
            <w:r>
              <w:rPr>
                <w:rFonts w:hint="eastAsia" w:ascii="宋体" w:hAnsi="宋体" w:cs="宋体"/>
                <w:kern w:val="0"/>
                <w:sz w:val="24"/>
                <w:highlight w:val="none"/>
              </w:rPr>
              <w:t>根据供应商提供的售后维保方案进行评价：</w:t>
            </w:r>
          </w:p>
          <w:p w14:paraId="6AD3CFD0">
            <w:pPr>
              <w:keepNext w:val="0"/>
              <w:keepLines w:val="0"/>
              <w:pageBreakBefore w:val="0"/>
              <w:widowControl w:val="0"/>
              <w:kinsoku/>
              <w:wordWrap/>
              <w:overflowPunct/>
              <w:topLinePunct w:val="0"/>
              <w:autoSpaceDE/>
              <w:autoSpaceDN/>
              <w:bidi w:val="0"/>
              <w:adjustRightInd/>
              <w:snapToGrid/>
              <w:spacing w:line="370" w:lineRule="exact"/>
              <w:textAlignment w:val="auto"/>
              <w:rPr>
                <w:rFonts w:ascii="宋体" w:hAnsi="宋体" w:cs="宋体"/>
                <w:kern w:val="0"/>
                <w:sz w:val="24"/>
                <w:highlight w:val="none"/>
              </w:rPr>
            </w:pPr>
            <w:r>
              <w:rPr>
                <w:rFonts w:hint="eastAsia" w:ascii="宋体" w:hAnsi="宋体" w:cs="宋体"/>
                <w:kern w:val="0"/>
                <w:sz w:val="24"/>
                <w:highlight w:val="none"/>
              </w:rPr>
              <w:t>①有提供售后维保方案（包含售后维保的内容、服务人员配备以及售后维保具体手段或工具）的得</w:t>
            </w:r>
            <w:r>
              <w:rPr>
                <w:rFonts w:hint="eastAsia" w:ascii="宋体" w:hAnsi="宋体" w:cs="宋体"/>
                <w:kern w:val="0"/>
                <w:sz w:val="24"/>
                <w:highlight w:val="none"/>
                <w:lang w:val="en-US" w:eastAsia="zh-CN"/>
              </w:rPr>
              <w:t>3</w:t>
            </w:r>
            <w:r>
              <w:rPr>
                <w:rFonts w:hint="eastAsia" w:ascii="宋体" w:hAnsi="宋体" w:cs="宋体"/>
                <w:kern w:val="0"/>
                <w:sz w:val="24"/>
                <w:highlight w:val="none"/>
              </w:rPr>
              <w:t>分；</w:t>
            </w:r>
          </w:p>
          <w:p w14:paraId="2FCE3F97">
            <w:pPr>
              <w:keepNext w:val="0"/>
              <w:keepLines w:val="0"/>
              <w:pageBreakBefore w:val="0"/>
              <w:widowControl w:val="0"/>
              <w:kinsoku/>
              <w:wordWrap/>
              <w:overflowPunct/>
              <w:topLinePunct w:val="0"/>
              <w:autoSpaceDE/>
              <w:autoSpaceDN/>
              <w:bidi w:val="0"/>
              <w:adjustRightInd/>
              <w:snapToGrid/>
              <w:spacing w:line="370" w:lineRule="exact"/>
              <w:textAlignment w:val="auto"/>
              <w:rPr>
                <w:rFonts w:ascii="宋体" w:hAnsi="宋体" w:cs="宋体"/>
                <w:kern w:val="0"/>
                <w:sz w:val="24"/>
                <w:highlight w:val="none"/>
              </w:rPr>
            </w:pPr>
            <w:r>
              <w:rPr>
                <w:rFonts w:hint="eastAsia" w:ascii="宋体" w:hAnsi="宋体" w:cs="宋体"/>
                <w:kern w:val="0"/>
                <w:sz w:val="24"/>
                <w:highlight w:val="none"/>
              </w:rPr>
              <w:t>②在满足①的基础上，明确保修方式，提供上门保修服务，设置固定人员与采购人联系售后服务，保修方法有利于延长产品使用寿命的得</w:t>
            </w:r>
            <w:r>
              <w:rPr>
                <w:rFonts w:hint="eastAsia" w:ascii="宋体" w:hAnsi="宋体" w:cs="宋体"/>
                <w:kern w:val="0"/>
                <w:sz w:val="24"/>
                <w:highlight w:val="none"/>
                <w:lang w:val="en-US" w:eastAsia="zh-CN"/>
              </w:rPr>
              <w:t>5</w:t>
            </w:r>
            <w:r>
              <w:rPr>
                <w:rFonts w:hint="eastAsia" w:ascii="宋体" w:hAnsi="宋体" w:cs="宋体"/>
                <w:kern w:val="0"/>
                <w:sz w:val="24"/>
                <w:highlight w:val="none"/>
              </w:rPr>
              <w:t>分；</w:t>
            </w:r>
          </w:p>
          <w:p w14:paraId="013C9EBF">
            <w:pPr>
              <w:keepNext w:val="0"/>
              <w:keepLines w:val="0"/>
              <w:pageBreakBefore w:val="0"/>
              <w:widowControl w:val="0"/>
              <w:kinsoku/>
              <w:wordWrap/>
              <w:overflowPunct/>
              <w:topLinePunct w:val="0"/>
              <w:autoSpaceDE/>
              <w:autoSpaceDN/>
              <w:bidi w:val="0"/>
              <w:adjustRightInd/>
              <w:snapToGrid/>
              <w:spacing w:line="370" w:lineRule="exact"/>
              <w:textAlignment w:val="auto"/>
              <w:rPr>
                <w:rFonts w:hint="eastAsia" w:ascii="宋体" w:hAnsi="宋体" w:eastAsia="宋体" w:cs="宋体"/>
                <w:kern w:val="0"/>
                <w:sz w:val="24"/>
                <w:szCs w:val="24"/>
                <w:highlight w:val="none"/>
                <w:lang w:val="en-US" w:eastAsia="zh-CN" w:bidi="ar-SA"/>
              </w:rPr>
            </w:pPr>
            <w:r>
              <w:rPr>
                <w:rFonts w:hint="eastAsia" w:ascii="宋体" w:hAnsi="宋体" w:cs="宋体"/>
                <w:kern w:val="0"/>
                <w:sz w:val="24"/>
                <w:highlight w:val="none"/>
              </w:rPr>
              <w:t>③未提供或不符合上述情形的不得分。</w:t>
            </w:r>
          </w:p>
        </w:tc>
        <w:tc>
          <w:tcPr>
            <w:tcW w:w="67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2336376D">
            <w:pPr>
              <w:keepNext w:val="0"/>
              <w:keepLines w:val="0"/>
              <w:pageBreakBefore w:val="0"/>
              <w:widowControl/>
              <w:kinsoku/>
              <w:wordWrap/>
              <w:overflowPunct/>
              <w:topLinePunct w:val="0"/>
              <w:autoSpaceDE/>
              <w:autoSpaceDN/>
              <w:bidi w:val="0"/>
              <w:adjustRightInd/>
              <w:snapToGrid/>
              <w:spacing w:line="370" w:lineRule="exact"/>
              <w:jc w:val="center"/>
              <w:textAlignment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5</w:t>
            </w:r>
          </w:p>
        </w:tc>
      </w:tr>
      <w:tr w14:paraId="3EC1F483">
        <w:tblPrEx>
          <w:tblBorders>
            <w:top w:val="outset" w:color="666666" w:sz="4" w:space="0"/>
            <w:left w:val="outset" w:color="666666" w:sz="4" w:space="0"/>
            <w:bottom w:val="outset" w:color="666666" w:sz="4" w:space="0"/>
            <w:right w:val="outset" w:color="666666"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732" w:type="dxa"/>
            <w:tcBorders>
              <w:top w:val="single" w:color="666666" w:sz="4" w:space="0"/>
              <w:left w:val="single" w:color="666666" w:sz="4" w:space="0"/>
              <w:bottom w:val="single" w:color="666666" w:sz="4" w:space="0"/>
              <w:right w:val="single" w:color="666666" w:sz="4" w:space="0"/>
            </w:tcBorders>
            <w:shd w:val="clear" w:color="auto" w:fill="auto"/>
            <w:vAlign w:val="center"/>
          </w:tcPr>
          <w:p w14:paraId="37AA615A">
            <w:pPr>
              <w:keepNext w:val="0"/>
              <w:keepLines w:val="0"/>
              <w:pageBreakBefore w:val="0"/>
              <w:kinsoku/>
              <w:wordWrap/>
              <w:overflowPunct/>
              <w:topLinePunct w:val="0"/>
              <w:autoSpaceDE/>
              <w:autoSpaceDN/>
              <w:bidi w:val="0"/>
              <w:adjustRightInd/>
              <w:snapToGrid/>
              <w:spacing w:line="370" w:lineRule="exact"/>
              <w:jc w:val="center"/>
              <w:rPr>
                <w:rFonts w:ascii="宋体" w:hAnsi="宋体" w:cs="宋体" w:eastAsiaTheme="minorEastAsia"/>
                <w:color w:val="auto"/>
                <w:kern w:val="2"/>
                <w:sz w:val="24"/>
                <w:szCs w:val="24"/>
                <w:highlight w:val="none"/>
                <w:lang w:val="en-US" w:eastAsia="zh-CN" w:bidi="ar-SA"/>
              </w:rPr>
            </w:pPr>
            <w:r>
              <w:rPr>
                <w:rFonts w:hint="eastAsia" w:ascii="宋体" w:hAnsi="宋体" w:cs="宋体"/>
                <w:color w:val="auto"/>
                <w:sz w:val="24"/>
                <w:highlight w:val="none"/>
              </w:rPr>
              <w:t>1-11</w:t>
            </w:r>
          </w:p>
        </w:tc>
        <w:tc>
          <w:tcPr>
            <w:tcW w:w="8297" w:type="dxa"/>
            <w:tcBorders>
              <w:top w:val="single" w:color="666666" w:sz="4" w:space="0"/>
              <w:left w:val="single" w:color="666666" w:sz="4" w:space="0"/>
              <w:bottom w:val="single" w:color="666666" w:sz="4" w:space="0"/>
              <w:right w:val="single" w:color="666666" w:sz="4" w:space="0"/>
            </w:tcBorders>
            <w:shd w:val="clear" w:color="auto" w:fill="auto"/>
            <w:vAlign w:val="top"/>
          </w:tcPr>
          <w:p w14:paraId="06BD9EA7">
            <w:pPr>
              <w:keepNext w:val="0"/>
              <w:keepLines w:val="0"/>
              <w:pageBreakBefore w:val="0"/>
              <w:widowControl w:val="0"/>
              <w:kinsoku/>
              <w:wordWrap/>
              <w:overflowPunct/>
              <w:topLinePunct w:val="0"/>
              <w:autoSpaceDE/>
              <w:autoSpaceDN/>
              <w:bidi w:val="0"/>
              <w:adjustRightInd/>
              <w:snapToGrid/>
              <w:spacing w:line="370" w:lineRule="exact"/>
              <w:textAlignment w:val="auto"/>
              <w:rPr>
                <w:rFonts w:hint="eastAsia" w:ascii="宋体" w:hAnsi="宋体" w:eastAsia="宋体" w:cs="宋体"/>
                <w:kern w:val="0"/>
                <w:sz w:val="24"/>
                <w:szCs w:val="24"/>
                <w:highlight w:val="none"/>
                <w:lang w:val="en-US" w:eastAsia="zh-CN" w:bidi="ar-SA"/>
              </w:rPr>
            </w:pPr>
            <w:r>
              <w:rPr>
                <w:rFonts w:hint="eastAsia" w:ascii="宋体" w:hAnsi="宋体" w:cs="宋体"/>
                <w:kern w:val="0"/>
                <w:sz w:val="24"/>
                <w:highlight w:val="none"/>
              </w:rPr>
              <w:t>根据供应商2023年1月1日至今（以合同签订时间为准）类似项目业绩的有效证明文件进行评价，每个有效业绩得</w:t>
            </w:r>
            <w:r>
              <w:rPr>
                <w:rFonts w:hint="eastAsia" w:ascii="宋体" w:hAnsi="宋体" w:cs="宋体"/>
                <w:kern w:val="0"/>
                <w:sz w:val="24"/>
                <w:highlight w:val="none"/>
                <w:lang w:val="en-US" w:eastAsia="zh-CN"/>
              </w:rPr>
              <w:t>3</w:t>
            </w:r>
            <w:r>
              <w:rPr>
                <w:rFonts w:hint="eastAsia" w:ascii="宋体" w:hAnsi="宋体" w:cs="宋体"/>
                <w:kern w:val="0"/>
                <w:sz w:val="24"/>
                <w:highlight w:val="none"/>
              </w:rPr>
              <w:t>分，满分</w:t>
            </w:r>
            <w:r>
              <w:rPr>
                <w:rFonts w:hint="eastAsia" w:ascii="宋体" w:hAnsi="宋体" w:cs="宋体"/>
                <w:kern w:val="0"/>
                <w:sz w:val="24"/>
                <w:highlight w:val="none"/>
                <w:lang w:val="en-US" w:eastAsia="zh-CN"/>
              </w:rPr>
              <w:t>6</w:t>
            </w:r>
            <w:r>
              <w:rPr>
                <w:rFonts w:hint="eastAsia" w:ascii="宋体" w:hAnsi="宋体" w:cs="宋体"/>
                <w:kern w:val="0"/>
                <w:sz w:val="24"/>
                <w:highlight w:val="none"/>
              </w:rPr>
              <w:t>分。</w:t>
            </w:r>
          </w:p>
        </w:tc>
        <w:tc>
          <w:tcPr>
            <w:tcW w:w="673" w:type="dxa"/>
            <w:tcBorders>
              <w:top w:val="single" w:color="666666" w:sz="4" w:space="0"/>
              <w:left w:val="single" w:color="666666" w:sz="4" w:space="0"/>
              <w:bottom w:val="single" w:color="666666" w:sz="4" w:space="0"/>
              <w:right w:val="single" w:color="666666" w:sz="4" w:space="0"/>
            </w:tcBorders>
            <w:shd w:val="clear" w:color="auto" w:fill="auto"/>
            <w:vAlign w:val="center"/>
          </w:tcPr>
          <w:p w14:paraId="6F461BB0">
            <w:pPr>
              <w:keepNext w:val="0"/>
              <w:keepLines w:val="0"/>
              <w:pageBreakBefore w:val="0"/>
              <w:kinsoku/>
              <w:wordWrap/>
              <w:overflowPunct/>
              <w:topLinePunct w:val="0"/>
              <w:autoSpaceDE/>
              <w:autoSpaceDN/>
              <w:bidi w:val="0"/>
              <w:adjustRightInd/>
              <w:snapToGrid/>
              <w:spacing w:line="370" w:lineRule="exact"/>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w:t>
            </w:r>
          </w:p>
        </w:tc>
      </w:tr>
    </w:tbl>
    <w:p w14:paraId="7F90222A">
      <w:pPr>
        <w:pStyle w:val="6"/>
        <w:pageBreakBefore w:val="0"/>
        <w:kinsoku/>
        <w:wordWrap/>
        <w:topLinePunct w:val="0"/>
        <w:bidi w:val="0"/>
        <w:snapToGrid/>
        <w:spacing w:beforeAutospacing="0" w:afterAutospacing="0" w:line="360" w:lineRule="auto"/>
        <w:rPr>
          <w:rFonts w:hint="eastAsia" w:ascii="宋体" w:hAnsi="宋体" w:eastAsia="宋体" w:cs="宋体"/>
          <w:b/>
          <w:bCs/>
          <w:color w:val="000000"/>
          <w:sz w:val="24"/>
          <w:szCs w:val="24"/>
          <w:highlight w:val="none"/>
        </w:rPr>
      </w:pPr>
      <w:r>
        <w:rPr>
          <w:rFonts w:hint="eastAsia" w:hAnsi="宋体" w:eastAsia="宋体" w:cs="宋体"/>
          <w:b/>
          <w:bCs/>
          <w:color w:val="000000"/>
          <w:sz w:val="24"/>
          <w:szCs w:val="24"/>
          <w:highlight w:val="none"/>
          <w:lang w:val="en-US" w:eastAsia="zh-CN"/>
        </w:rPr>
        <w:t>2.</w:t>
      </w:r>
      <w:r>
        <w:rPr>
          <w:rFonts w:hint="eastAsia" w:ascii="宋体" w:hAnsi="宋体" w:eastAsia="宋体" w:cs="宋体"/>
          <w:b/>
          <w:bCs/>
          <w:color w:val="000000"/>
          <w:sz w:val="24"/>
          <w:szCs w:val="24"/>
          <w:highlight w:val="none"/>
        </w:rPr>
        <w:t>报价评审</w:t>
      </w:r>
    </w:p>
    <w:p w14:paraId="38F6DF80">
      <w:pPr>
        <w:pStyle w:val="6"/>
        <w:pageBreakBefore w:val="0"/>
        <w:kinsoku/>
        <w:wordWrap/>
        <w:topLinePunct w:val="0"/>
        <w:bidi w:val="0"/>
        <w:snapToGrid/>
        <w:spacing w:beforeAutospacing="0" w:afterAutospacing="0" w:line="360" w:lineRule="auto"/>
        <w:ind w:firstLine="482" w:firstLineChars="200"/>
        <w:rPr>
          <w:rFonts w:hint="eastAsia" w:ascii="宋体" w:hAnsi="宋体" w:eastAsia="宋体" w:cs="宋体"/>
          <w:b/>
          <w:color w:val="000000"/>
          <w:sz w:val="24"/>
          <w:highlight w:val="none"/>
        </w:rPr>
      </w:pPr>
      <w:r>
        <w:rPr>
          <w:rFonts w:hint="eastAsia" w:hAnsi="宋体" w:eastAsia="宋体" w:cs="宋体"/>
          <w:b/>
          <w:color w:val="000000"/>
          <w:sz w:val="24"/>
          <w:szCs w:val="24"/>
          <w:highlight w:val="none"/>
          <w:lang w:val="en-US" w:eastAsia="zh-CN"/>
        </w:rPr>
        <w:t>2</w:t>
      </w:r>
      <w:r>
        <w:rPr>
          <w:rFonts w:hint="eastAsia" w:ascii="宋体" w:hAnsi="宋体" w:eastAsia="宋体" w:cs="宋体"/>
          <w:b/>
          <w:color w:val="000000"/>
          <w:sz w:val="24"/>
          <w:szCs w:val="24"/>
          <w:highlight w:val="none"/>
        </w:rPr>
        <w:t>.1</w:t>
      </w:r>
      <w:r>
        <w:rPr>
          <w:rFonts w:hint="eastAsia" w:ascii="宋体" w:hAnsi="宋体" w:eastAsia="宋体" w:cs="宋体"/>
          <w:b/>
          <w:color w:val="000000"/>
          <w:sz w:val="24"/>
          <w:highlight w:val="none"/>
        </w:rPr>
        <w:t>甄别异常报价：有下列情况之一的投标报价不进入报价分计算环节：</w:t>
      </w:r>
    </w:p>
    <w:p w14:paraId="4AEAD0EA">
      <w:pPr>
        <w:pageBreakBefore w:val="0"/>
        <w:kinsoku/>
        <w:wordWrap/>
        <w:topLinePunct w:val="0"/>
        <w:bidi w:val="0"/>
        <w:adjustRightInd w:val="0"/>
        <w:snapToGrid/>
        <w:spacing w:beforeAutospacing="0" w:afterAutospacing="0" w:line="360" w:lineRule="auto"/>
        <w:ind w:firstLine="475" w:firstLineChars="198"/>
        <w:rPr>
          <w:rFonts w:hint="eastAsia" w:ascii="宋体" w:hAnsi="宋体" w:eastAsia="宋体" w:cs="宋体"/>
          <w:b/>
          <w:color w:val="000000"/>
          <w:sz w:val="24"/>
          <w:highlight w:val="none"/>
        </w:rPr>
      </w:pPr>
      <w:r>
        <w:rPr>
          <w:rFonts w:hint="eastAsia" w:ascii="宋体" w:hAnsi="宋体" w:eastAsia="宋体" w:cs="宋体"/>
          <w:color w:val="000000"/>
          <w:sz w:val="24"/>
          <w:highlight w:val="none"/>
        </w:rPr>
        <w:t>①报价高于预算价；</w:t>
      </w:r>
    </w:p>
    <w:p w14:paraId="73AEA6F9">
      <w:pPr>
        <w:pageBreakBefore w:val="0"/>
        <w:kinsoku/>
        <w:wordWrap/>
        <w:topLinePunct w:val="0"/>
        <w:bidi w:val="0"/>
        <w:adjustRightInd w:val="0"/>
        <w:snapToGrid/>
        <w:spacing w:beforeAutospacing="0" w:afterAutospacing="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②投标报价高于最高限价；</w:t>
      </w:r>
    </w:p>
    <w:p w14:paraId="0AF017D8">
      <w:pPr>
        <w:pageBreakBefore w:val="0"/>
        <w:kinsoku/>
        <w:wordWrap/>
        <w:topLinePunct w:val="0"/>
        <w:bidi w:val="0"/>
        <w:adjustRightInd w:val="0"/>
        <w:snapToGrid/>
        <w:spacing w:beforeAutospacing="0" w:afterAutospacing="0" w:line="360" w:lineRule="auto"/>
        <w:ind w:firstLine="480" w:firstLineChars="200"/>
        <w:rPr>
          <w:rFonts w:hint="eastAsia" w:ascii="宋体" w:hAnsi="宋体" w:eastAsia="宋体" w:cs="宋体"/>
          <w:color w:val="000000"/>
          <w:sz w:val="24"/>
          <w:highlight w:val="none"/>
        </w:rPr>
      </w:pPr>
      <w:r>
        <w:rPr>
          <w:rFonts w:hint="eastAsia" w:ascii="宋体" w:hAnsi="宋体" w:eastAsia="宋体" w:cs="宋体"/>
          <w:color w:val="000000"/>
          <w:sz w:val="24"/>
          <w:highlight w:val="none"/>
        </w:rPr>
        <w:t>③分析总报价及各个分项报价是否合理、报价范围是否完整、有否重大错漏项、是否超过最高限价。如评标委员会认为投标人的报价明显低于其他通过符合性审查投标人的报价，有可能影响产品质量或者不能诚信履约的，应当要求其在评标现场合理的时间内提供书面说明，必要时提交相关佐证材料；投标人不能证明其报价合理性的，评标委员会应当将其作为无效投标处理。</w:t>
      </w:r>
    </w:p>
    <w:p w14:paraId="0E081721">
      <w:pPr>
        <w:pageBreakBefore w:val="0"/>
        <w:kinsoku/>
        <w:wordWrap/>
        <w:topLinePunct w:val="0"/>
        <w:bidi w:val="0"/>
        <w:adjustRightInd w:val="0"/>
        <w:snapToGrid/>
        <w:spacing w:beforeAutospacing="0" w:afterAutospacing="0" w:line="360" w:lineRule="auto"/>
        <w:ind w:firstLine="472" w:firstLineChars="196"/>
        <w:rPr>
          <w:rFonts w:hint="eastAsia" w:ascii="宋体" w:hAnsi="宋体" w:eastAsia="宋体" w:cs="宋体"/>
          <w:b/>
          <w:color w:val="000000"/>
          <w:sz w:val="24"/>
          <w:highlight w:val="none"/>
          <w:lang w:eastAsia="zh-CN"/>
        </w:rPr>
      </w:pPr>
      <w:r>
        <w:rPr>
          <w:rFonts w:hint="eastAsia" w:ascii="宋体" w:hAnsi="宋体" w:eastAsia="宋体" w:cs="宋体"/>
          <w:b/>
          <w:color w:val="000000"/>
          <w:sz w:val="24"/>
          <w:highlight w:val="none"/>
          <w:lang w:val="en-US" w:eastAsia="zh-CN"/>
        </w:rPr>
        <w:t>2</w:t>
      </w:r>
      <w:r>
        <w:rPr>
          <w:rFonts w:hint="eastAsia" w:ascii="宋体" w:hAnsi="宋体" w:eastAsia="宋体" w:cs="宋体"/>
          <w:b/>
          <w:color w:val="000000"/>
          <w:sz w:val="24"/>
          <w:highlight w:val="none"/>
        </w:rPr>
        <w:t>.2报价评审</w:t>
      </w:r>
      <w:r>
        <w:rPr>
          <w:rFonts w:hint="eastAsia" w:ascii="宋体" w:hAnsi="宋体" w:eastAsia="宋体" w:cs="宋体"/>
          <w:b/>
          <w:color w:val="000000"/>
          <w:sz w:val="24"/>
          <w:highlight w:val="none"/>
          <w:lang w:eastAsia="zh-CN"/>
        </w:rPr>
        <w:t>，</w:t>
      </w:r>
      <w:r>
        <w:rPr>
          <w:rFonts w:hint="eastAsia" w:ascii="宋体" w:hAnsi="宋体" w:eastAsia="宋体" w:cs="宋体"/>
          <w:b/>
          <w:color w:val="000000"/>
          <w:sz w:val="24"/>
          <w:highlight w:val="none"/>
          <w:lang w:val="en-US" w:eastAsia="zh-CN"/>
        </w:rPr>
        <w:t>满分为30分</w:t>
      </w:r>
      <w:r>
        <w:rPr>
          <w:rFonts w:hint="eastAsia" w:ascii="宋体" w:hAnsi="宋体" w:eastAsia="宋体" w:cs="宋体"/>
          <w:b/>
          <w:color w:val="000000"/>
          <w:sz w:val="24"/>
          <w:highlight w:val="none"/>
          <w:lang w:eastAsia="zh-CN"/>
        </w:rPr>
        <w:t>。</w:t>
      </w:r>
    </w:p>
    <w:p w14:paraId="0133B8BD">
      <w:pPr>
        <w:pageBreakBefore w:val="0"/>
        <w:kinsoku/>
        <w:wordWrap/>
        <w:topLinePunct w:val="0"/>
        <w:bidi w:val="0"/>
        <w:snapToGrid/>
        <w:spacing w:beforeAutospacing="0" w:afterAutospacing="0" w:line="360" w:lineRule="auto"/>
        <w:ind w:left="283" w:leftChars="135" w:firstLine="120" w:firstLineChars="5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kern w:val="0"/>
          <w:sz w:val="24"/>
          <w:highlight w:val="none"/>
        </w:rPr>
        <w:t>以各投标人所报</w:t>
      </w:r>
      <w:r>
        <w:rPr>
          <w:rFonts w:hint="eastAsia" w:ascii="宋体" w:hAnsi="宋体" w:eastAsia="宋体" w:cs="宋体"/>
          <w:color w:val="000000"/>
          <w:kern w:val="0"/>
          <w:sz w:val="24"/>
          <w:highlight w:val="none"/>
          <w:lang w:val="en-US" w:eastAsia="zh-CN"/>
        </w:rPr>
        <w:t>总报价</w:t>
      </w:r>
      <w:r>
        <w:rPr>
          <w:rFonts w:hint="eastAsia" w:ascii="宋体" w:hAnsi="宋体" w:eastAsia="宋体" w:cs="宋体"/>
          <w:color w:val="000000"/>
          <w:kern w:val="0"/>
          <w:sz w:val="24"/>
          <w:highlight w:val="none"/>
        </w:rPr>
        <w:t>的</w:t>
      </w:r>
      <w:r>
        <w:rPr>
          <w:rFonts w:hint="eastAsia" w:ascii="宋体" w:hAnsi="宋体" w:eastAsia="宋体" w:cs="宋体"/>
          <w:color w:val="000000"/>
          <w:kern w:val="0"/>
          <w:sz w:val="24"/>
          <w:highlight w:val="none"/>
          <w:lang w:val="en-US" w:eastAsia="zh-CN"/>
        </w:rPr>
        <w:t>最低价</w:t>
      </w:r>
      <w:r>
        <w:rPr>
          <w:rFonts w:hint="eastAsia" w:ascii="宋体" w:hAnsi="宋体" w:eastAsia="宋体" w:cs="宋体"/>
          <w:color w:val="000000"/>
          <w:kern w:val="0"/>
          <w:sz w:val="24"/>
          <w:highlight w:val="none"/>
        </w:rPr>
        <w:t>为基准价</w:t>
      </w:r>
      <w:r>
        <w:rPr>
          <w:rFonts w:hint="eastAsia" w:ascii="宋体" w:hAnsi="宋体" w:eastAsia="宋体" w:cs="宋体"/>
          <w:color w:val="000000"/>
          <w:sz w:val="24"/>
          <w:szCs w:val="24"/>
          <w:highlight w:val="none"/>
          <w:lang w:val="en-US" w:eastAsia="zh-CN"/>
        </w:rPr>
        <w:t>；</w:t>
      </w:r>
    </w:p>
    <w:p w14:paraId="40395B83">
      <w:pPr>
        <w:pageBreakBefore w:val="0"/>
        <w:kinsoku/>
        <w:wordWrap/>
        <w:topLinePunct w:val="0"/>
        <w:bidi w:val="0"/>
        <w:snapToGrid/>
        <w:spacing w:beforeAutospacing="0" w:afterAutospacing="0" w:line="360" w:lineRule="auto"/>
        <w:rPr>
          <w:rFonts w:hint="eastAsia" w:ascii="宋体" w:hAnsi="宋体" w:eastAsia="宋体" w:cs="宋体"/>
          <w:b/>
          <w:color w:val="000000"/>
          <w:sz w:val="24"/>
          <w:highlight w:val="none"/>
        </w:rPr>
      </w:pPr>
      <w:r>
        <w:rPr>
          <w:rFonts w:hint="eastAsia" w:ascii="宋体" w:hAnsi="宋体" w:eastAsia="宋体" w:cs="宋体"/>
          <w:b/>
          <w:color w:val="000000"/>
          <w:sz w:val="24"/>
          <w:highlight w:val="none"/>
          <w:lang w:val="en-US" w:eastAsia="zh-CN"/>
        </w:rPr>
        <w:t>3</w:t>
      </w:r>
      <w:r>
        <w:rPr>
          <w:rFonts w:hint="eastAsia" w:ascii="宋体" w:hAnsi="宋体" w:eastAsia="宋体" w:cs="宋体"/>
          <w:b/>
          <w:color w:val="000000"/>
          <w:sz w:val="24"/>
          <w:highlight w:val="none"/>
        </w:rPr>
        <w:t>、计算总分（满分为100分）</w:t>
      </w:r>
    </w:p>
    <w:p w14:paraId="1668F476">
      <w:pPr>
        <w:pStyle w:val="6"/>
        <w:pageBreakBefore w:val="0"/>
        <w:kinsoku/>
        <w:wordWrap/>
        <w:topLinePunct w:val="0"/>
        <w:bidi w:val="0"/>
        <w:snapToGrid/>
        <w:spacing w:beforeAutospacing="0" w:afterAutospacing="0" w:line="360" w:lineRule="auto"/>
        <w:ind w:firstLine="24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 xml:space="preserve">   计算方法：投标人总得分 = 商务技术得分+报价得分</w:t>
      </w:r>
    </w:p>
    <w:p w14:paraId="07AAC9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1F2329"/>
          <w:sz w:val="32"/>
          <w:szCs w:val="32"/>
        </w:rPr>
      </w:pPr>
      <w:r>
        <w:rPr>
          <w:color w:val="1F2329"/>
          <w:sz w:val="32"/>
          <w:szCs w:val="32"/>
        </w:rPr>
        <w:t>第七章 售后服务要求</w:t>
      </w:r>
    </w:p>
    <w:p w14:paraId="7A49C7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7.1 服务承诺</w:t>
      </w:r>
    </w:p>
    <w:p w14:paraId="1D774C0B">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投标人应提供详细的售后服务方案，明确服务内容、服务方式、服务时限等；</w:t>
      </w:r>
    </w:p>
    <w:p w14:paraId="557DF3A2">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建立完善的售后服务体系，设立专门的售后服务热线和联系人；</w:t>
      </w:r>
    </w:p>
    <w:p w14:paraId="31D4FB31">
      <w:pPr>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定期对产品使用情况进行回访，及时发现和解决问题。</w:t>
      </w:r>
    </w:p>
    <w:p w14:paraId="43FFD2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7.2 维修服务</w:t>
      </w:r>
    </w:p>
    <w:p w14:paraId="6AE71B1F">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质保期内，产品出现质量问题，投标人应免费提供维修或更换服务；</w:t>
      </w:r>
    </w:p>
    <w:p w14:paraId="554165FE">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接到维修通知后，应在规定时间内到达现场处理，一般问题应在</w:t>
      </w:r>
      <w:r>
        <w:rPr>
          <w:rFonts w:hint="eastAsia"/>
          <w:color w:val="1F2329"/>
          <w:sz w:val="24"/>
          <w:szCs w:val="24"/>
          <w:lang w:val="en-US" w:eastAsia="zh-CN"/>
        </w:rPr>
        <w:t>24</w:t>
      </w:r>
      <w:r>
        <w:rPr>
          <w:color w:val="1F2329"/>
          <w:sz w:val="24"/>
          <w:szCs w:val="24"/>
        </w:rPr>
        <w:t>小时内解决，重大问题应在</w:t>
      </w:r>
      <w:r>
        <w:rPr>
          <w:rFonts w:hint="eastAsia"/>
          <w:color w:val="1F2329"/>
          <w:sz w:val="24"/>
          <w:szCs w:val="24"/>
          <w:lang w:val="en-US" w:eastAsia="zh-CN"/>
        </w:rPr>
        <w:t>48</w:t>
      </w:r>
      <w:r>
        <w:rPr>
          <w:color w:val="1F2329"/>
          <w:sz w:val="24"/>
          <w:szCs w:val="24"/>
        </w:rPr>
        <w:t>小时内提出解决方案；</w:t>
      </w:r>
    </w:p>
    <w:p w14:paraId="4EC77640">
      <w:pPr>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维修服务完成后，应向招标人提交维修报告，说明问题原因及处理结果。</w:t>
      </w:r>
    </w:p>
    <w:p w14:paraId="3B07DC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color w:val="1F2329"/>
          <w:sz w:val="24"/>
          <w:szCs w:val="24"/>
        </w:rPr>
      </w:pPr>
      <w:r>
        <w:rPr>
          <w:color w:val="1F2329"/>
          <w:sz w:val="24"/>
          <w:szCs w:val="24"/>
        </w:rPr>
        <w:t>7.3 培训服务</w:t>
      </w:r>
    </w:p>
    <w:p w14:paraId="68FC5DD7">
      <w:pPr>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投标人应为招标人提供免费的产品使用和维护培训服务；</w:t>
      </w:r>
    </w:p>
    <w:p w14:paraId="33F919DC">
      <w:pPr>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培训内容包括产品结构、使用方法、日常维护、注意事项等；</w:t>
      </w:r>
    </w:p>
    <w:p w14:paraId="3D6D3C85">
      <w:pPr>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培训方式可采用现场培训或集中培训，确保相关人员能够熟练操作和维护产品。</w:t>
      </w:r>
    </w:p>
    <w:p w14:paraId="3C9369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center"/>
        <w:rPr>
          <w:color w:val="1F2329"/>
          <w:sz w:val="32"/>
          <w:szCs w:val="32"/>
        </w:rPr>
      </w:pPr>
      <w:r>
        <w:rPr>
          <w:color w:val="1F2329"/>
          <w:sz w:val="32"/>
          <w:szCs w:val="32"/>
        </w:rPr>
        <w:t>第</w:t>
      </w:r>
      <w:r>
        <w:rPr>
          <w:rFonts w:hint="eastAsia"/>
          <w:color w:val="1F2329"/>
          <w:sz w:val="32"/>
          <w:szCs w:val="32"/>
          <w:lang w:val="en-US" w:eastAsia="zh-CN"/>
        </w:rPr>
        <w:t>八</w:t>
      </w:r>
      <w:r>
        <w:rPr>
          <w:color w:val="1F2329"/>
          <w:sz w:val="32"/>
          <w:szCs w:val="32"/>
        </w:rPr>
        <w:t>章 投标文件组成</w:t>
      </w:r>
    </w:p>
    <w:p w14:paraId="6F4CC2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b/>
          <w:bCs/>
          <w:color w:val="1F2329"/>
          <w:kern w:val="0"/>
          <w:sz w:val="24"/>
          <w:szCs w:val="24"/>
          <w:lang w:val="en-US" w:eastAsia="zh-CN" w:bidi="ar"/>
        </w:rPr>
      </w:pPr>
      <w:r>
        <w:rPr>
          <w:rFonts w:hint="eastAsia" w:ascii="宋体" w:hAnsi="宋体" w:eastAsia="宋体" w:cs="宋体"/>
          <w:b/>
          <w:bCs/>
          <w:color w:val="1F2329"/>
          <w:kern w:val="0"/>
          <w:sz w:val="24"/>
          <w:szCs w:val="24"/>
          <w:lang w:val="en-US" w:eastAsia="zh-CN" w:bidi="ar"/>
        </w:rPr>
        <w:t>8.1投标文件</w:t>
      </w:r>
    </w:p>
    <w:p w14:paraId="212E48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1F2329"/>
          <w:sz w:val="24"/>
          <w:szCs w:val="24"/>
        </w:rPr>
      </w:pPr>
      <w:r>
        <w:rPr>
          <w:rFonts w:ascii="宋体" w:hAnsi="宋体" w:eastAsia="宋体" w:cs="宋体"/>
          <w:color w:val="1F2329"/>
          <w:kern w:val="0"/>
          <w:sz w:val="24"/>
          <w:szCs w:val="24"/>
          <w:lang w:val="en-US" w:eastAsia="zh-CN" w:bidi="ar"/>
        </w:rPr>
        <w:t>投标文件应包括但不限于以下内容：</w:t>
      </w:r>
    </w:p>
    <w:p w14:paraId="0C933234">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投标函；</w:t>
      </w:r>
    </w:p>
    <w:p w14:paraId="4B0E7959">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法定代表人身份证明或授权委托书；</w:t>
      </w:r>
    </w:p>
    <w:p w14:paraId="15078578">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营业执照副本复印件（加盖公章）；</w:t>
      </w:r>
    </w:p>
    <w:p w14:paraId="7D5FDE0C">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投标报价表（含单价、总价、税率等）；</w:t>
      </w:r>
    </w:p>
    <w:p w14:paraId="353D3526">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技术响应文件（详细说明对招标文件技术参数的响应情况）；</w:t>
      </w:r>
    </w:p>
    <w:p w14:paraId="5CEBEE16">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售后服务方案；</w:t>
      </w:r>
    </w:p>
    <w:p w14:paraId="5D992C66">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rPr>
          <w:color w:val="1F2329"/>
          <w:sz w:val="24"/>
          <w:szCs w:val="24"/>
        </w:rPr>
      </w:pPr>
      <w:r>
        <w:rPr>
          <w:color w:val="1F2329"/>
          <w:sz w:val="24"/>
          <w:szCs w:val="24"/>
        </w:rPr>
        <w:t>相关资质证书及检测报告；</w:t>
      </w:r>
    </w:p>
    <w:p w14:paraId="7F444C56">
      <w:pPr>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hanging="360"/>
        <w:jc w:val="left"/>
      </w:pPr>
      <w:r>
        <w:rPr>
          <w:color w:val="1F2329"/>
          <w:sz w:val="24"/>
          <w:szCs w:val="24"/>
        </w:rPr>
        <w:t>业绩证明材料（近三年内类似项目合同复印件）。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12C813"/>
    <w:multiLevelType w:val="multilevel"/>
    <w:tmpl w:val="8612C81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A2D9259D"/>
    <w:multiLevelType w:val="multilevel"/>
    <w:tmpl w:val="A2D9259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A5F2A27C"/>
    <w:multiLevelType w:val="multilevel"/>
    <w:tmpl w:val="A5F2A27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A5F598DF"/>
    <w:multiLevelType w:val="multilevel"/>
    <w:tmpl w:val="A5F598D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A667554A"/>
    <w:multiLevelType w:val="multilevel"/>
    <w:tmpl w:val="A667554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D93C25C1"/>
    <w:multiLevelType w:val="multilevel"/>
    <w:tmpl w:val="D93C25C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EB685C1F"/>
    <w:multiLevelType w:val="multilevel"/>
    <w:tmpl w:val="EB685C1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0074CD4C"/>
    <w:multiLevelType w:val="multilevel"/>
    <w:tmpl w:val="0074CD4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09066C90"/>
    <w:multiLevelType w:val="multilevel"/>
    <w:tmpl w:val="09066C9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0F5611D3"/>
    <w:multiLevelType w:val="multilevel"/>
    <w:tmpl w:val="0F5611D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10345504"/>
    <w:multiLevelType w:val="multilevel"/>
    <w:tmpl w:val="10345504"/>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17C4E4F2"/>
    <w:multiLevelType w:val="multilevel"/>
    <w:tmpl w:val="17C4E4F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18DB097F"/>
    <w:multiLevelType w:val="multilevel"/>
    <w:tmpl w:val="18DB097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19B20F22"/>
    <w:multiLevelType w:val="multilevel"/>
    <w:tmpl w:val="19B20F2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4">
    <w:nsid w:val="31FDA572"/>
    <w:multiLevelType w:val="multilevel"/>
    <w:tmpl w:val="31FDA57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6ED62CB9"/>
    <w:multiLevelType w:val="multilevel"/>
    <w:tmpl w:val="6ED62CB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6">
    <w:nsid w:val="76AA2FBB"/>
    <w:multiLevelType w:val="multilevel"/>
    <w:tmpl w:val="76AA2FB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15"/>
  </w:num>
  <w:num w:numId="2">
    <w:abstractNumId w:val="3"/>
  </w:num>
  <w:num w:numId="3">
    <w:abstractNumId w:val="4"/>
  </w:num>
  <w:num w:numId="4">
    <w:abstractNumId w:val="0"/>
  </w:num>
  <w:num w:numId="5">
    <w:abstractNumId w:val="8"/>
  </w:num>
  <w:num w:numId="6">
    <w:abstractNumId w:val="2"/>
  </w:num>
  <w:num w:numId="7">
    <w:abstractNumId w:val="10"/>
  </w:num>
  <w:num w:numId="8">
    <w:abstractNumId w:val="14"/>
  </w:num>
  <w:num w:numId="9">
    <w:abstractNumId w:val="5"/>
  </w:num>
  <w:num w:numId="10">
    <w:abstractNumId w:val="1"/>
  </w:num>
  <w:num w:numId="11">
    <w:abstractNumId w:val="9"/>
  </w:num>
  <w:num w:numId="12">
    <w:abstractNumId w:val="13"/>
  </w:num>
  <w:num w:numId="13">
    <w:abstractNumId w:val="16"/>
  </w:num>
  <w:num w:numId="14">
    <w:abstractNumId w:val="7"/>
  </w:num>
  <w:num w:numId="15">
    <w:abstractNumId w:val="6"/>
  </w:num>
  <w:num w:numId="16">
    <w:abstractNumId w:val="1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C612CF"/>
    <w:rsid w:val="03D60954"/>
    <w:rsid w:val="047718E4"/>
    <w:rsid w:val="0560706F"/>
    <w:rsid w:val="07162596"/>
    <w:rsid w:val="0BE56F32"/>
    <w:rsid w:val="102313C5"/>
    <w:rsid w:val="11CB5870"/>
    <w:rsid w:val="172B36D3"/>
    <w:rsid w:val="19E971DB"/>
    <w:rsid w:val="1DA82F09"/>
    <w:rsid w:val="1E3E73CA"/>
    <w:rsid w:val="212F5A8B"/>
    <w:rsid w:val="23CE7442"/>
    <w:rsid w:val="24BB5C18"/>
    <w:rsid w:val="27743E5C"/>
    <w:rsid w:val="278E13C2"/>
    <w:rsid w:val="2900009D"/>
    <w:rsid w:val="2BBF5FEE"/>
    <w:rsid w:val="2C1B26F4"/>
    <w:rsid w:val="2CC612CF"/>
    <w:rsid w:val="2D944B24"/>
    <w:rsid w:val="2E4B1DBB"/>
    <w:rsid w:val="30A749E8"/>
    <w:rsid w:val="322E4458"/>
    <w:rsid w:val="338418CB"/>
    <w:rsid w:val="39682C9F"/>
    <w:rsid w:val="3AE113B1"/>
    <w:rsid w:val="3C6D55F2"/>
    <w:rsid w:val="3DBC1920"/>
    <w:rsid w:val="44185E43"/>
    <w:rsid w:val="44ED5522"/>
    <w:rsid w:val="47282841"/>
    <w:rsid w:val="482E032B"/>
    <w:rsid w:val="488717E9"/>
    <w:rsid w:val="4BC352D8"/>
    <w:rsid w:val="4D07114B"/>
    <w:rsid w:val="4EA529C9"/>
    <w:rsid w:val="4ECD25C4"/>
    <w:rsid w:val="4ED31995"/>
    <w:rsid w:val="508A1E77"/>
    <w:rsid w:val="52B8356E"/>
    <w:rsid w:val="54F8249D"/>
    <w:rsid w:val="55FF3307"/>
    <w:rsid w:val="56097CE2"/>
    <w:rsid w:val="570861EB"/>
    <w:rsid w:val="5AF66BA5"/>
    <w:rsid w:val="5BAF6C35"/>
    <w:rsid w:val="5DF72F94"/>
    <w:rsid w:val="60863D99"/>
    <w:rsid w:val="64356146"/>
    <w:rsid w:val="644D348F"/>
    <w:rsid w:val="68664B20"/>
    <w:rsid w:val="6BB65DBE"/>
    <w:rsid w:val="6CC369E5"/>
    <w:rsid w:val="6D125276"/>
    <w:rsid w:val="6F265D2E"/>
    <w:rsid w:val="6FB450F6"/>
    <w:rsid w:val="70A72179"/>
    <w:rsid w:val="71376F7F"/>
    <w:rsid w:val="74896DD1"/>
    <w:rsid w:val="760B6D06"/>
    <w:rsid w:val="76F93003"/>
    <w:rsid w:val="77E617D9"/>
    <w:rsid w:val="799F7E92"/>
    <w:rsid w:val="7B340AAD"/>
    <w:rsid w:val="7C6F4493"/>
    <w:rsid w:val="7D105F93"/>
    <w:rsid w:val="7E21356B"/>
    <w:rsid w:val="7F9E0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Plain Text"/>
    <w:basedOn w:val="1"/>
    <w:qFormat/>
    <w:uiPriority w:val="0"/>
    <w:rPr>
      <w:rFonts w:ascii="宋体" w:hAnsi="Courier New"/>
      <w:sz w:val="21"/>
      <w:szCs w:val="20"/>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546</Words>
  <Characters>590</Characters>
  <Lines>0</Lines>
  <Paragraphs>0</Paragraphs>
  <TotalTime>15</TotalTime>
  <ScaleCrop>false</ScaleCrop>
  <LinksUpToDate>false</LinksUpToDate>
  <CharactersWithSpaces>603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2026-10-27T06:57:00Z</dcterms:created>
  <dc:creator>知足常le</dc:creator>
  <cp:lastModifiedBy>svfly</cp:lastModifiedBy>
  <dcterms:modified xsi:type="dcterms:W3CDTF">2026-11-03T07:20:47Z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DE98B987EB7A473D92FF9607C10A9C67_13</vt:lpwstr>
  </property>
  <property fmtid="{D5CDD505-2E9C-101B-9397-08002B2CF9AE}" pid="4" name="KSOTemplateDocerSaveRecord">
    <vt:lpwstr>eyJoZGlkIjoiZjE3YmNjODliZGMzMmZiZGJmZmRhMTg1ZTk1OGU5ZDEiLCJ1c2VySWQiOiIzNDc4MjE1In0=</vt:lpwstr>
  </property>
</Properties>
</file>