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A71B5E">
      <w:pPr>
        <w:jc w:val="center"/>
        <w:rPr>
          <w:b/>
          <w:bCs/>
          <w:color w:val="auto"/>
          <w:sz w:val="32"/>
          <w:szCs w:val="40"/>
        </w:rPr>
      </w:pPr>
      <w:r>
        <w:rPr>
          <w:rFonts w:hint="eastAsia"/>
          <w:b/>
          <w:bCs/>
          <w:color w:val="auto"/>
          <w:sz w:val="32"/>
          <w:szCs w:val="40"/>
        </w:rPr>
        <w:t>需求内容—动态心电记录</w:t>
      </w:r>
      <w:r>
        <w:rPr>
          <w:rFonts w:hint="eastAsia"/>
          <w:b/>
          <w:bCs/>
          <w:color w:val="auto"/>
          <w:sz w:val="32"/>
          <w:szCs w:val="40"/>
          <w:lang w:val="en-US" w:eastAsia="zh-CN"/>
        </w:rPr>
        <w:t>器</w:t>
      </w:r>
      <w:bookmarkStart w:id="0" w:name="_GoBack"/>
      <w:bookmarkEnd w:id="0"/>
      <w:r>
        <w:rPr>
          <w:rFonts w:hint="eastAsia"/>
          <w:b/>
          <w:bCs/>
          <w:color w:val="auto"/>
          <w:sz w:val="32"/>
          <w:szCs w:val="40"/>
          <w:lang w:val="en-US" w:eastAsia="zh-CN"/>
        </w:rPr>
        <w:t>3</w:t>
      </w:r>
      <w:r>
        <w:rPr>
          <w:rFonts w:hint="eastAsia"/>
          <w:b/>
          <w:bCs/>
          <w:color w:val="auto"/>
          <w:sz w:val="32"/>
          <w:szCs w:val="40"/>
        </w:rPr>
        <w:t>台</w:t>
      </w:r>
    </w:p>
    <w:p w14:paraId="1CF6312F">
      <w:pPr>
        <w:pStyle w:val="5"/>
        <w:jc w:val="left"/>
        <w:outlineLvl w:val="2"/>
        <w:rPr>
          <w:rFonts w:hint="eastAsia" w:ascii="宋体" w:hAnsi="宋体" w:eastAsia="宋体" w:cs="宋体"/>
          <w:b/>
          <w:color w:val="auto"/>
          <w:sz w:val="24"/>
          <w:szCs w:val="24"/>
        </w:rPr>
      </w:pPr>
    </w:p>
    <w:p w14:paraId="7B13D372">
      <w:pPr>
        <w:pStyle w:val="6"/>
        <w:widowControl/>
        <w:numPr>
          <w:ilvl w:val="0"/>
          <w:numId w:val="0"/>
        </w:numPr>
        <w:ind w:firstLine="0" w:firstLineChars="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  <w:szCs w:val="24"/>
          <w:lang w:val="en-US" w:eastAsia="zh-CN" w:bidi="ar-SA"/>
        </w:rPr>
        <w:t>一、</w:t>
      </w:r>
      <w:r>
        <w:rPr>
          <w:rFonts w:hint="eastAsia" w:ascii="仿宋" w:hAnsi="仿宋" w:eastAsia="仿宋" w:cs="宋体"/>
          <w:b/>
          <w:bCs/>
          <w:kern w:val="0"/>
          <w:sz w:val="24"/>
        </w:rPr>
        <w:t>功能用途</w:t>
      </w:r>
      <w:r>
        <w:rPr>
          <w:rFonts w:hint="eastAsia" w:ascii="仿宋" w:hAnsi="仿宋" w:eastAsia="仿宋" w:cs="宋体"/>
          <w:kern w:val="0"/>
          <w:sz w:val="24"/>
        </w:rPr>
        <w:t>：</w:t>
      </w:r>
    </w:p>
    <w:p w14:paraId="5DC9B815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1.用于长达24小时及以上连续记录患者在日常活动状态下的心电信号。</w:t>
      </w:r>
    </w:p>
    <w:p w14:paraId="5FD08073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2.有效捕捉常规心电图不易发现的短暂性、阵发性心律失常及无症状心肌缺血。</w:t>
      </w:r>
    </w:p>
    <w:p w14:paraId="647C096A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3.为临床诊断、起搏器功能评估及抗心律失常药物疗效提供客观数据支持。。</w:t>
      </w:r>
    </w:p>
    <w:p w14:paraId="78F3E67A">
      <w:pPr>
        <w:numPr>
          <w:ilvl w:val="0"/>
          <w:numId w:val="0"/>
        </w:numPr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  <w:szCs w:val="24"/>
          <w:lang w:val="en-US" w:eastAsia="zh-CN" w:bidi="ar-SA"/>
        </w:rPr>
        <w:t>二、</w:t>
      </w:r>
      <w:r>
        <w:rPr>
          <w:rFonts w:hint="eastAsia" w:ascii="仿宋" w:hAnsi="仿宋" w:eastAsia="仿宋" w:cs="宋体"/>
          <w:b/>
          <w:bCs/>
          <w:kern w:val="0"/>
          <w:sz w:val="24"/>
        </w:rPr>
        <w:t>技术指标</w:t>
      </w:r>
      <w:r>
        <w:rPr>
          <w:rFonts w:hint="eastAsia" w:ascii="仿宋" w:hAnsi="仿宋" w:eastAsia="仿宋" w:cs="宋体"/>
          <w:kern w:val="0"/>
          <w:sz w:val="24"/>
        </w:rPr>
        <w:t>：</w:t>
      </w:r>
    </w:p>
    <w:p w14:paraId="7662D897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1.ECG输入通道：标准12导联心电信号同步采集、3通道（导联）。</w:t>
      </w:r>
    </w:p>
    <w:p w14:paraId="38FF7926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2.采集时长：能够实现连续24小时至72小时不间断12导及3通道心电数据采集和存储。</w:t>
      </w:r>
    </w:p>
    <w:p w14:paraId="0221CA28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3.输入阻抗：≥50MΩ；</w:t>
      </w:r>
    </w:p>
    <w:p w14:paraId="6EE85539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4.采样精度≥24位</w:t>
      </w:r>
    </w:p>
    <w:p w14:paraId="2B3B1830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5.耐极化电压：≥±600mV；</w:t>
      </w:r>
    </w:p>
    <w:p w14:paraId="33D3CF1C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6.频率响应：0.05Hz-100Hz；</w:t>
      </w:r>
    </w:p>
    <w:p w14:paraId="0EDCBF5F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7.动态心电分析软件支持在线查看、调用及诊断；动态心电分析软件具有自动分析功能；</w:t>
      </w:r>
    </w:p>
    <w:p w14:paraId="678EF9F8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8.支持用户事件、房早事件、室早事件、心率事件的自动分析；具有全导联起搏检测功能；起搏器分析模块可用于起搏钉分析，快速定位异常起搏钉；</w:t>
      </w:r>
    </w:p>
    <w:p w14:paraId="2E6624C2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9.支持快速筛查房颤和自动分析房颤功能，根据不同房颤识别强度识别阵发性房颤的功能，快速批量编辑阵发性房颤；</w:t>
      </w:r>
    </w:p>
    <w:p w14:paraId="36015FA2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10.支持HRV分析、T波电交替、心率减速力、心率震荡、QTc间期散点图、睡眠呼吸暂停等高级分析功能；</w:t>
      </w:r>
    </w:p>
    <w:p w14:paraId="6C00B0F3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11.提供诊断结论界面供用户查看已经挑选的典型图，并对全部心搏信息进行自动统计展示，提供诊断结论框供医生填写结论；提供自定义词库供医生快捷选择；</w:t>
      </w:r>
    </w:p>
    <w:p w14:paraId="4C7EA4ED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12.报价人需承诺所报设备支持网络化功能，应能接入厦门弘爱医院，实现数据远程传输、会诊、管理和共享功能，所需相关接入费用包含在本次项目预算中。</w:t>
      </w:r>
    </w:p>
    <w:p w14:paraId="6E67E0EF">
      <w:pPr>
        <w:pStyle w:val="6"/>
        <w:widowControl/>
        <w:numPr>
          <w:ilvl w:val="0"/>
          <w:numId w:val="0"/>
        </w:numPr>
        <w:ind w:firstLine="0" w:firstLineChars="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  <w:szCs w:val="24"/>
          <w:lang w:val="en-US" w:eastAsia="zh-CN" w:bidi="ar-SA"/>
        </w:rPr>
        <w:t>三、</w:t>
      </w:r>
      <w:r>
        <w:rPr>
          <w:rFonts w:hint="eastAsia" w:ascii="仿宋" w:hAnsi="仿宋" w:eastAsia="仿宋" w:cs="宋体"/>
          <w:b/>
          <w:bCs/>
          <w:kern w:val="0"/>
          <w:sz w:val="24"/>
        </w:rPr>
        <w:t>配置清单</w:t>
      </w:r>
      <w:r>
        <w:rPr>
          <w:rFonts w:hint="eastAsia" w:ascii="仿宋" w:hAnsi="仿宋" w:eastAsia="仿宋" w:cs="宋体"/>
          <w:kern w:val="0"/>
          <w:sz w:val="24"/>
        </w:rPr>
        <w:t>：</w:t>
      </w:r>
    </w:p>
    <w:p w14:paraId="0A95520C">
      <w:pPr>
        <w:pStyle w:val="6"/>
        <w:widowControl/>
        <w:ind w:firstLine="600" w:firstLineChars="25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动态心电记录仪主机3台、心电导联线3套、机套3个、腰带3条、挂绳3根、SD存储卡3个、USB数据线3根。</w:t>
      </w:r>
    </w:p>
    <w:p w14:paraId="53E5F81A">
      <w:pPr>
        <w:pStyle w:val="6"/>
        <w:widowControl/>
        <w:ind w:firstLine="0" w:firstLineChars="0"/>
        <w:jc w:val="left"/>
        <w:rPr>
          <w:rFonts w:ascii="仿宋" w:hAnsi="仿宋" w:eastAsia="仿宋" w:cs="宋体"/>
          <w:b/>
          <w:bCs/>
          <w:kern w:val="0"/>
          <w:sz w:val="24"/>
        </w:rPr>
      </w:pPr>
      <w:r>
        <w:rPr>
          <w:rFonts w:hint="eastAsia" w:ascii="仿宋" w:hAnsi="仿宋" w:eastAsia="仿宋" w:cs="宋体"/>
          <w:b/>
          <w:bCs/>
          <w:kern w:val="0"/>
          <w:sz w:val="24"/>
        </w:rPr>
        <w:t>四、售后服务方案</w:t>
      </w:r>
    </w:p>
    <w:p w14:paraId="23F0F188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1、货物免费原厂维保期要求均为货物经最终验收合格后36个月，在质量保证期内设备运行发生故障时，乙方在接到甲方故障通知后2小时内回应，委派专业技术人员到现场免费提供咨询、维修和更换零部件等服务，并及时填写维修报告（包括故障原因、处理情况及甲方意见等）报甲方备案，若48小时内无法排除故障，则应先提供同档次备用机供甲方使用。其中发生一切费用由乙方承担。质量保证期内乙方有责任对设备进行不定期的巡查检修。投标人视自身能力在投标文件中提供更优、更合理的维修服务承诺。</w:t>
      </w:r>
    </w:p>
    <w:p w14:paraId="69E8D306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2、质保期满前1个月内成交供应商应就所有货物进行一次全面检查，并写出正式报告，如发现潜在问题，应负责排除。如出现质量问题，在质保期内对货物进行维修和零配件的更换。</w:t>
      </w:r>
    </w:p>
    <w:p w14:paraId="3D1B2694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3、质保期内，谈判响应供应商应提供免费的技术支持和技术升级服务。主要培训内容包括货物及主要部件的基本构造、功能、安装、调试、日常操作、实验项目、保养与管理、常见故障的排除、紧急情况的处理等。</w:t>
      </w:r>
    </w:p>
    <w:p w14:paraId="7AAA5566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4、质保期后技术服务内容：质保期满后，成交供应商仍应提供定期维护和修理，维修仅收取零配件费用。</w:t>
      </w:r>
    </w:p>
    <w:p w14:paraId="093E25C2">
      <w:pPr>
        <w:pStyle w:val="6"/>
        <w:widowControl/>
        <w:ind w:firstLine="0" w:firstLineChars="0"/>
        <w:jc w:val="left"/>
        <w:rPr>
          <w:rFonts w:ascii="仿宋" w:hAnsi="仿宋" w:eastAsia="仿宋" w:cs="宋体"/>
          <w:b/>
          <w:bCs/>
          <w:kern w:val="0"/>
          <w:sz w:val="24"/>
        </w:rPr>
      </w:pPr>
      <w:r>
        <w:rPr>
          <w:rFonts w:hint="eastAsia" w:ascii="仿宋" w:hAnsi="仿宋" w:eastAsia="仿宋" w:cs="宋体"/>
          <w:b/>
          <w:bCs/>
          <w:kern w:val="0"/>
          <w:sz w:val="24"/>
        </w:rPr>
        <w:t>五、培训服务</w:t>
      </w:r>
    </w:p>
    <w:p w14:paraId="319298DF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1.成交供应商提供现场技术培训，保证使用人员正确操作设备的各种功能，维修人员能进行常规维护、检修与保养。</w:t>
      </w:r>
    </w:p>
    <w:p w14:paraId="71A8B781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2.供应商应提供现场人员的培训，包括但不限于操作培训、保养培训和维修培训，并提供书面承诺和培训方案；培训使用单位操作人员直到熟悉为止（所有培训不再另行收取费用）。</w:t>
      </w:r>
    </w:p>
    <w:p w14:paraId="343C18A9">
      <w:pPr>
        <w:rPr>
          <w:rFonts w:hint="eastAsia" w:ascii="宋体" w:hAnsi="宋体" w:eastAsia="宋体" w:cs="宋体"/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6C1D8D"/>
    <w:rsid w:val="02A933C2"/>
    <w:rsid w:val="068C39DB"/>
    <w:rsid w:val="100C72E7"/>
    <w:rsid w:val="33073C07"/>
    <w:rsid w:val="3E7136C7"/>
    <w:rsid w:val="42B5148D"/>
    <w:rsid w:val="4CE41BFE"/>
    <w:rsid w:val="4EBC4363"/>
    <w:rsid w:val="521758C8"/>
    <w:rsid w:val="54806460"/>
    <w:rsid w:val="59AD42E7"/>
    <w:rsid w:val="5A5D19D7"/>
    <w:rsid w:val="663E24F5"/>
    <w:rsid w:val="6A4F55F8"/>
    <w:rsid w:val="70CF7E7F"/>
    <w:rsid w:val="7B80652E"/>
    <w:rsid w:val="7BA6723C"/>
    <w:rsid w:val="7C773FBF"/>
    <w:rsid w:val="7F6C1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5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  <w:style w:type="paragraph" w:styleId="6">
    <w:name w:val="List Paragraph"/>
    <w:basedOn w:val="1"/>
    <w:autoRedefine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1142</Words>
  <Characters>1202</Characters>
  <Lines>0</Lines>
  <Paragraphs>0</Paragraphs>
  <TotalTime>5</TotalTime>
  <ScaleCrop>false</ScaleCrop>
  <LinksUpToDate>false</LinksUpToDate>
  <CharactersWithSpaces>1202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2026-08-14T07:13:00Z</dcterms:created>
  <dc:creator>jingzikanziji</dc:creator>
  <cp:lastModifiedBy>svfly</cp:lastModifiedBy>
  <dcterms:modified xsi:type="dcterms:W3CDTF">2026-10-22T09:22:47Z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63B77B306179494192F7F2ED76A5679F_13</vt:lpwstr>
  </property>
  <property fmtid="{D5CDD505-2E9C-101B-9397-08002B2CF9AE}" pid="4" name="KSOTemplateDocerSaveRecord">
    <vt:lpwstr>eyJoZGlkIjoiZjE3YmNjODliZGMzMmZiZGJmZmRhMTg1ZTk1OGU5ZDEiLCJ1c2VySWQiOiIzNDc4MjE1In0=</vt:lpwstr>
  </property>
</Properties>
</file>