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425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黑体" w:hAnsi="黑体" w:eastAsia="黑体" w:cs="黑体"/>
          <w:b/>
          <w:bCs/>
          <w:color w:val="auto"/>
          <w:kern w:val="2"/>
          <w:sz w:val="40"/>
          <w:szCs w:val="40"/>
          <w:lang w:val="en-US" w:eastAsia="zh-CN" w:bidi="ar-SA"/>
        </w:rPr>
      </w:pPr>
      <w:bookmarkStart w:id="0" w:name="_GoBack"/>
      <w:bookmarkEnd w:id="0"/>
      <w:r>
        <w:rPr>
          <w:rFonts w:hint="eastAsia" w:ascii="黑体" w:hAnsi="黑体" w:eastAsia="黑体" w:cs="黑体"/>
          <w:b/>
          <w:bCs/>
          <w:color w:val="auto"/>
          <w:kern w:val="2"/>
          <w:sz w:val="40"/>
          <w:szCs w:val="40"/>
          <w:lang w:val="en-US" w:eastAsia="zh-CN" w:bidi="ar-SA"/>
        </w:rPr>
        <w:t>需求内容—盆栽租摆服务</w:t>
      </w:r>
    </w:p>
    <w:p w14:paraId="3A8844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一、项目基本情况</w:t>
      </w:r>
    </w:p>
    <w:p w14:paraId="0B60A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项目名称：盆栽租摆项目采购需求：详见服务内容及要求。</w:t>
      </w:r>
    </w:p>
    <w:p w14:paraId="060106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合同履行期限：自合同签订之日起 2 年。</w:t>
      </w:r>
    </w:p>
    <w:p w14:paraId="1B1726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本项目</w:t>
      </w:r>
      <w:r>
        <w:rPr>
          <w:rStyle w:val="10"/>
          <w:rFonts w:ascii="宋体" w:hAnsi="宋体" w:eastAsia="宋体" w:cs="宋体"/>
          <w:b/>
          <w:bCs/>
          <w:color w:val="000000"/>
          <w:kern w:val="0"/>
          <w:sz w:val="24"/>
          <w:szCs w:val="24"/>
          <w:lang w:val="en-US" w:eastAsia="zh-CN" w:bidi="ar"/>
        </w:rPr>
        <w:t>不接受联合体投标</w:t>
      </w:r>
      <w:r>
        <w:rPr>
          <w:rFonts w:ascii="宋体" w:hAnsi="宋体" w:eastAsia="宋体" w:cs="宋体"/>
          <w:color w:val="000000"/>
          <w:kern w:val="0"/>
          <w:sz w:val="24"/>
          <w:szCs w:val="24"/>
          <w:lang w:val="en-US" w:eastAsia="zh-CN" w:bidi="ar"/>
        </w:rPr>
        <w:t>。</w:t>
      </w:r>
    </w:p>
    <w:p w14:paraId="4D8609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hint="eastAsia" w:ascii="宋体" w:hAnsi="宋体" w:eastAsia="宋体" w:cs="宋体"/>
          <w:color w:val="000000"/>
          <w:kern w:val="0"/>
          <w:sz w:val="24"/>
          <w:szCs w:val="24"/>
          <w:lang w:val="en-US" w:eastAsia="zh-CN" w:bidi="ar"/>
        </w:rPr>
        <w:t>1.</w:t>
      </w:r>
      <w:r>
        <w:rPr>
          <w:rFonts w:ascii="宋体" w:hAnsi="宋体" w:eastAsia="宋体" w:cs="宋体"/>
          <w:color w:val="000000"/>
          <w:kern w:val="0"/>
          <w:sz w:val="24"/>
          <w:szCs w:val="24"/>
          <w:lang w:val="en-US" w:eastAsia="zh-CN" w:bidi="ar"/>
        </w:rPr>
        <w:t>养护内容本次招标项目为厦门医学院附属口腔医院的盆栽租摆项目，</w:t>
      </w:r>
      <w:r>
        <w:rPr>
          <w:rStyle w:val="10"/>
          <w:rFonts w:ascii="宋体" w:hAnsi="宋体" w:eastAsia="宋体" w:cs="宋体"/>
          <w:b/>
          <w:bCs/>
          <w:color w:val="000000"/>
          <w:kern w:val="0"/>
          <w:sz w:val="24"/>
          <w:szCs w:val="24"/>
          <w:lang w:val="en-US" w:eastAsia="zh-CN" w:bidi="ar"/>
        </w:rPr>
        <w:t>每月现场实际摆放绿植总株数须稳定保持120</w:t>
      </w:r>
      <w:r>
        <w:rPr>
          <w:rStyle w:val="10"/>
          <w:rFonts w:hint="eastAsia" w:ascii="宋体" w:hAnsi="宋体" w:eastAsia="宋体" w:cs="宋体"/>
          <w:b/>
          <w:bCs/>
          <w:color w:val="000000"/>
          <w:kern w:val="0"/>
          <w:sz w:val="24"/>
          <w:szCs w:val="24"/>
          <w:lang w:val="en-US" w:eastAsia="zh-CN" w:bidi="ar"/>
        </w:rPr>
        <w:t>（上浮动10%）</w:t>
      </w:r>
      <w:r>
        <w:rPr>
          <w:rStyle w:val="10"/>
          <w:rFonts w:ascii="宋体" w:hAnsi="宋体" w:eastAsia="宋体" w:cs="宋体"/>
          <w:b/>
          <w:bCs/>
          <w:color w:val="000000"/>
          <w:kern w:val="0"/>
          <w:sz w:val="24"/>
          <w:szCs w:val="24"/>
          <w:lang w:val="en-US" w:eastAsia="zh-CN" w:bidi="ar"/>
        </w:rPr>
        <w:t>株（含大型、中型、小型绿植，含日常租摆 + 节日临时绿植，</w:t>
      </w:r>
      <w:r>
        <w:rPr>
          <w:rStyle w:val="10"/>
          <w:rFonts w:hint="eastAsia" w:ascii="宋体" w:hAnsi="宋体" w:eastAsia="宋体" w:cs="宋体"/>
          <w:b/>
          <w:bCs/>
          <w:color w:val="000000"/>
          <w:kern w:val="0"/>
          <w:sz w:val="24"/>
          <w:szCs w:val="24"/>
          <w:lang w:val="en-US" w:eastAsia="zh-CN" w:bidi="ar"/>
        </w:rPr>
        <w:t>大型</w:t>
      </w:r>
      <w:r>
        <w:rPr>
          <w:rStyle w:val="10"/>
          <w:rFonts w:ascii="宋体" w:hAnsi="宋体" w:eastAsia="宋体" w:cs="宋体"/>
          <w:b/>
          <w:bCs/>
          <w:color w:val="000000"/>
          <w:kern w:val="0"/>
          <w:sz w:val="24"/>
          <w:szCs w:val="24"/>
          <w:lang w:val="en-US" w:eastAsia="zh-CN" w:bidi="ar"/>
        </w:rPr>
        <w:t>节日</w:t>
      </w:r>
      <w:r>
        <w:rPr>
          <w:rStyle w:val="10"/>
          <w:rFonts w:hint="eastAsia" w:ascii="宋体" w:hAnsi="宋体" w:eastAsia="宋体" w:cs="宋体"/>
          <w:b/>
          <w:bCs/>
          <w:color w:val="000000"/>
          <w:kern w:val="0"/>
          <w:sz w:val="24"/>
          <w:szCs w:val="24"/>
          <w:lang w:val="en-US" w:eastAsia="zh-CN" w:bidi="ar"/>
        </w:rPr>
        <w:t>临时增加</w:t>
      </w:r>
      <w:r>
        <w:rPr>
          <w:rStyle w:val="10"/>
          <w:rFonts w:ascii="宋体" w:hAnsi="宋体" w:eastAsia="宋体" w:cs="宋体"/>
          <w:b/>
          <w:bCs/>
          <w:color w:val="000000"/>
          <w:kern w:val="0"/>
          <w:sz w:val="24"/>
          <w:szCs w:val="24"/>
          <w:lang w:val="en-US" w:eastAsia="zh-CN" w:bidi="ar"/>
        </w:rPr>
        <w:t>花卉</w:t>
      </w:r>
      <w:r>
        <w:rPr>
          <w:rStyle w:val="10"/>
          <w:rFonts w:hint="eastAsia" w:ascii="宋体" w:hAnsi="宋体" w:eastAsia="宋体" w:cs="宋体"/>
          <w:b/>
          <w:bCs/>
          <w:color w:val="000000"/>
          <w:kern w:val="0"/>
          <w:sz w:val="24"/>
          <w:szCs w:val="24"/>
          <w:lang w:val="en-US" w:eastAsia="zh-CN" w:bidi="ar"/>
        </w:rPr>
        <w:t>不</w:t>
      </w:r>
      <w:r>
        <w:rPr>
          <w:rStyle w:val="10"/>
          <w:rFonts w:ascii="宋体" w:hAnsi="宋体" w:eastAsia="宋体" w:cs="宋体"/>
          <w:b/>
          <w:bCs/>
          <w:color w:val="000000"/>
          <w:kern w:val="0"/>
          <w:sz w:val="24"/>
          <w:szCs w:val="24"/>
          <w:lang w:val="en-US" w:eastAsia="zh-CN" w:bidi="ar"/>
        </w:rPr>
        <w:t>计入总量统计）；实行月度包干总价模式，在总株数 120</w:t>
      </w:r>
      <w:r>
        <w:rPr>
          <w:rStyle w:val="10"/>
          <w:rFonts w:hint="eastAsia" w:ascii="宋体" w:hAnsi="宋体" w:eastAsia="宋体" w:cs="宋体"/>
          <w:b/>
          <w:bCs/>
          <w:color w:val="000000"/>
          <w:kern w:val="0"/>
          <w:sz w:val="24"/>
          <w:szCs w:val="24"/>
          <w:lang w:val="en-US" w:eastAsia="zh-CN" w:bidi="ar"/>
        </w:rPr>
        <w:t>（上浮动10%）</w:t>
      </w:r>
      <w:r>
        <w:rPr>
          <w:rStyle w:val="10"/>
          <w:rFonts w:ascii="宋体" w:hAnsi="宋体" w:eastAsia="宋体" w:cs="宋体"/>
          <w:b/>
          <w:bCs/>
          <w:color w:val="000000"/>
          <w:kern w:val="0"/>
          <w:sz w:val="24"/>
          <w:szCs w:val="24"/>
          <w:lang w:val="en-US" w:eastAsia="zh-CN" w:bidi="ar"/>
        </w:rPr>
        <w:t xml:space="preserve"> 株区间内，同档次规格品种轮换、位置调整，月度合同总价保持不变，采购人不另行增减费用</w:t>
      </w:r>
      <w:r>
        <w:rPr>
          <w:rFonts w:ascii="宋体" w:hAnsi="宋体" w:eastAsia="宋体" w:cs="宋体"/>
          <w:color w:val="000000"/>
          <w:kern w:val="0"/>
          <w:sz w:val="24"/>
          <w:szCs w:val="24"/>
          <w:lang w:val="en-US" w:eastAsia="zh-CN" w:bidi="ar"/>
        </w:rPr>
        <w:t>。</w:t>
      </w:r>
    </w:p>
    <w:p w14:paraId="2E3D56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color w:val="000000"/>
          <w:sz w:val="24"/>
          <w:szCs w:val="24"/>
          <w:lang w:val="en-US"/>
        </w:rPr>
      </w:pPr>
      <w:r>
        <w:rPr>
          <w:rFonts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养护期限本项目养护期限为二年。</w:t>
      </w:r>
      <w:r>
        <w:rPr>
          <w:rFonts w:hint="eastAsia" w:ascii="宋体" w:hAnsi="宋体" w:eastAsia="宋体" w:cs="宋体"/>
          <w:color w:val="000000"/>
          <w:kern w:val="0"/>
          <w:sz w:val="24"/>
          <w:szCs w:val="24"/>
          <w:lang w:val="en-US" w:eastAsia="zh-CN" w:bidi="ar"/>
        </w:rPr>
        <w:t>最高限价9.8万元。</w:t>
      </w:r>
    </w:p>
    <w:p w14:paraId="7324E0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服务范围</w:t>
      </w:r>
    </w:p>
    <w:tbl>
      <w:tblPr>
        <w:tblStyle w:val="8"/>
        <w:tblW w:w="84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457"/>
        <w:gridCol w:w="1674"/>
        <w:gridCol w:w="5881"/>
      </w:tblGrid>
      <w:tr w14:paraId="789B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dxa"/>
            <w:shd w:val="clear" w:color="auto" w:fill="auto"/>
            <w:vAlign w:val="center"/>
          </w:tcPr>
          <w:p w14:paraId="3FB2FC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序号</w:t>
            </w:r>
          </w:p>
        </w:tc>
        <w:tc>
          <w:tcPr>
            <w:tcW w:w="457" w:type="dxa"/>
            <w:shd w:val="clear" w:color="auto" w:fill="auto"/>
            <w:vAlign w:val="center"/>
          </w:tcPr>
          <w:p w14:paraId="4FAD36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项目</w:t>
            </w:r>
          </w:p>
        </w:tc>
        <w:tc>
          <w:tcPr>
            <w:tcW w:w="1674" w:type="dxa"/>
            <w:shd w:val="clear" w:color="auto" w:fill="auto"/>
            <w:vAlign w:val="center"/>
          </w:tcPr>
          <w:p w14:paraId="2A2B31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养护服务范围</w:t>
            </w:r>
          </w:p>
        </w:tc>
        <w:tc>
          <w:tcPr>
            <w:tcW w:w="5881" w:type="dxa"/>
            <w:shd w:val="clear" w:color="auto" w:fill="auto"/>
            <w:vAlign w:val="center"/>
          </w:tcPr>
          <w:p w14:paraId="15F2C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养护内容</w:t>
            </w:r>
          </w:p>
        </w:tc>
      </w:tr>
      <w:tr w14:paraId="5B48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dxa"/>
            <w:shd w:val="clear" w:color="auto" w:fill="auto"/>
            <w:vAlign w:val="center"/>
          </w:tcPr>
          <w:p w14:paraId="567F01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1</w:t>
            </w:r>
          </w:p>
        </w:tc>
        <w:tc>
          <w:tcPr>
            <w:tcW w:w="457" w:type="dxa"/>
            <w:shd w:val="clear" w:color="auto" w:fill="auto"/>
            <w:vAlign w:val="center"/>
          </w:tcPr>
          <w:p w14:paraId="2EE6AA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盆栽租摆</w:t>
            </w:r>
          </w:p>
        </w:tc>
        <w:tc>
          <w:tcPr>
            <w:tcW w:w="1674" w:type="dxa"/>
            <w:shd w:val="clear" w:color="auto" w:fill="auto"/>
            <w:vAlign w:val="center"/>
          </w:tcPr>
          <w:p w14:paraId="1342EA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院区走廊、电梯厅、大厅、会议室、候诊区、部分办公室等公共区域</w:t>
            </w:r>
          </w:p>
        </w:tc>
        <w:tc>
          <w:tcPr>
            <w:tcW w:w="5881" w:type="dxa"/>
            <w:shd w:val="clear" w:color="auto" w:fill="auto"/>
            <w:vAlign w:val="center"/>
          </w:tcPr>
          <w:p w14:paraId="10CAD3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报价含人工费用、运输费用、搬运费、日常管理费用、绿植损耗更新、盆器、垃圾清运等全部费用。日常盆栽租摆：（1）保持日常浇水、施肥；（2）确保花卉和绿植长势良好；（3）每月绿植摆放总株数控制120株，可在同规格档次内轮换品种，月包干总价固定不变。</w:t>
            </w:r>
          </w:p>
        </w:tc>
      </w:tr>
    </w:tbl>
    <w:p w14:paraId="1EE582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p>
    <w:p w14:paraId="613F2C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72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绿植规格与推荐品种库（供应商投标方案需从此库选用，可增加同等适配医院环境的备选品种，</w:t>
      </w:r>
      <w:r>
        <w:rPr>
          <w:rStyle w:val="10"/>
          <w:rFonts w:hint="eastAsia" w:ascii="宋体" w:hAnsi="宋体" w:eastAsia="宋体" w:cs="宋体"/>
          <w:b/>
          <w:bCs/>
          <w:color w:val="000000"/>
          <w:kern w:val="0"/>
          <w:sz w:val="24"/>
          <w:szCs w:val="24"/>
          <w:lang w:val="en-US" w:eastAsia="zh-CN" w:bidi="ar"/>
        </w:rPr>
        <w:t>禁止选用气味浓烈、易致敏、花粉量大的植物</w:t>
      </w:r>
      <w:r>
        <w:rPr>
          <w:rFonts w:hint="eastAsia" w:ascii="宋体" w:hAnsi="宋体" w:eastAsia="宋体" w:cs="宋体"/>
          <w:color w:val="000000"/>
          <w:kern w:val="0"/>
          <w:sz w:val="24"/>
          <w:szCs w:val="24"/>
          <w:lang w:val="en-US" w:eastAsia="zh-CN" w:bidi="ar"/>
        </w:rPr>
        <w:t>，适配医疗诊疗环境）</w:t>
      </w:r>
    </w:p>
    <w:p w14:paraId="01132D9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720" w:rightChars="0"/>
        <w:jc w:val="left"/>
        <w:textAlignment w:val="auto"/>
        <w:rPr>
          <w:rFonts w:hint="eastAsia" w:ascii="宋体" w:hAnsi="宋体" w:eastAsia="宋体" w:cs="宋体"/>
          <w:color w:val="000000"/>
          <w:kern w:val="0"/>
          <w:sz w:val="24"/>
          <w:szCs w:val="24"/>
          <w:lang w:val="en-US" w:eastAsia="zh-CN" w:bidi="ar"/>
        </w:rPr>
      </w:pPr>
      <w:r>
        <w:rPr>
          <w:rStyle w:val="10"/>
          <w:rFonts w:hint="eastAsia" w:ascii="宋体" w:hAnsi="宋体" w:eastAsia="宋体" w:cs="宋体"/>
          <w:b/>
          <w:bCs/>
          <w:color w:val="000000"/>
          <w:kern w:val="0"/>
          <w:sz w:val="24"/>
          <w:szCs w:val="24"/>
          <w:lang w:val="en-US" w:eastAsia="zh-CN" w:bidi="ar"/>
        </w:rPr>
        <w:t>A.大型绿植（植株 + 花盆总高 130</w:t>
      </w:r>
      <w:r>
        <w:rPr>
          <w:rStyle w:val="10"/>
          <w:rFonts w:hint="eastAsia" w:ascii="宋体" w:hAnsi="宋体" w:eastAsia="宋体" w:cs="宋体"/>
          <w:b/>
          <w:bCs/>
          <w:color w:val="000000"/>
          <w:kern w:val="0"/>
          <w:sz w:val="24"/>
          <w:szCs w:val="24"/>
          <w:lang w:val="en-US" w:eastAsia="zh-CN" w:bidi="ar"/>
        </w:rPr>
        <w:noBreakHyphen/>
      </w:r>
      <w:r>
        <w:rPr>
          <w:rStyle w:val="10"/>
          <w:rFonts w:hint="eastAsia" w:ascii="宋体" w:hAnsi="宋体" w:eastAsia="宋体" w:cs="宋体"/>
          <w:b/>
          <w:bCs/>
          <w:color w:val="000000"/>
          <w:kern w:val="0"/>
          <w:sz w:val="24"/>
          <w:szCs w:val="24"/>
          <w:lang w:val="en-US" w:eastAsia="zh-CN" w:bidi="ar"/>
        </w:rPr>
        <w:t>180cm）</w:t>
      </w:r>
      <w:r>
        <w:rPr>
          <w:rFonts w:hint="eastAsia" w:ascii="宋体" w:hAnsi="宋体" w:eastAsia="宋体" w:cs="宋体"/>
          <w:color w:val="000000"/>
          <w:kern w:val="0"/>
          <w:sz w:val="24"/>
          <w:szCs w:val="24"/>
          <w:lang w:val="en-US" w:eastAsia="zh-CN" w:bidi="ar"/>
        </w:rPr>
        <w:t>：大叶绿萝柱、琴叶榕、发财树、幸福树、夏威夷椰子、龙血树、金钱树；</w:t>
      </w:r>
    </w:p>
    <w:p w14:paraId="28819E4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720" w:rightChars="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B.</w:t>
      </w:r>
      <w:r>
        <w:rPr>
          <w:rStyle w:val="10"/>
          <w:rFonts w:hint="eastAsia" w:ascii="宋体" w:hAnsi="宋体" w:eastAsia="宋体" w:cs="宋体"/>
          <w:b/>
          <w:bCs/>
          <w:color w:val="000000"/>
          <w:kern w:val="0"/>
          <w:sz w:val="24"/>
          <w:szCs w:val="24"/>
          <w:lang w:val="en-US" w:eastAsia="zh-CN" w:bidi="ar"/>
        </w:rPr>
        <w:t>中型绿植（植株 + 花盆总高 60</w:t>
      </w:r>
      <w:r>
        <w:rPr>
          <w:rStyle w:val="10"/>
          <w:rFonts w:hint="eastAsia" w:ascii="宋体" w:hAnsi="宋体" w:eastAsia="宋体" w:cs="宋体"/>
          <w:b/>
          <w:bCs/>
          <w:color w:val="000000"/>
          <w:kern w:val="0"/>
          <w:sz w:val="24"/>
          <w:szCs w:val="24"/>
          <w:lang w:val="en-US" w:eastAsia="zh-CN" w:bidi="ar"/>
        </w:rPr>
        <w:noBreakHyphen/>
      </w:r>
      <w:r>
        <w:rPr>
          <w:rStyle w:val="10"/>
          <w:rFonts w:hint="eastAsia" w:ascii="宋体" w:hAnsi="宋体" w:eastAsia="宋体" w:cs="宋体"/>
          <w:b/>
          <w:bCs/>
          <w:color w:val="000000"/>
          <w:kern w:val="0"/>
          <w:sz w:val="24"/>
          <w:szCs w:val="24"/>
          <w:lang w:val="en-US" w:eastAsia="zh-CN" w:bidi="ar"/>
        </w:rPr>
        <w:t>110cm）</w:t>
      </w:r>
      <w:r>
        <w:rPr>
          <w:rFonts w:hint="eastAsia" w:ascii="宋体" w:hAnsi="宋体" w:eastAsia="宋体" w:cs="宋体"/>
          <w:color w:val="000000"/>
          <w:kern w:val="0"/>
          <w:sz w:val="24"/>
          <w:szCs w:val="24"/>
          <w:lang w:val="en-US" w:eastAsia="zh-CN" w:bidi="ar"/>
        </w:rPr>
        <w:t>：也门铁、龟背竹、鸭脚木、橡皮树、金钻、春羽、红掌、散尾葵；</w:t>
      </w:r>
    </w:p>
    <w:p w14:paraId="74B1043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720" w:rightChars="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C.</w:t>
      </w:r>
      <w:r>
        <w:rPr>
          <w:rStyle w:val="10"/>
          <w:rFonts w:hint="eastAsia" w:ascii="宋体" w:hAnsi="宋体" w:eastAsia="宋体" w:cs="宋体"/>
          <w:b/>
          <w:bCs/>
          <w:color w:val="000000"/>
          <w:kern w:val="0"/>
          <w:sz w:val="24"/>
          <w:szCs w:val="24"/>
          <w:lang w:val="en-US" w:eastAsia="zh-CN" w:bidi="ar"/>
        </w:rPr>
        <w:t>小型绿植（植株 + 花盆高度 25</w:t>
      </w:r>
      <w:r>
        <w:rPr>
          <w:rStyle w:val="10"/>
          <w:rFonts w:hint="eastAsia" w:ascii="宋体" w:hAnsi="宋体" w:eastAsia="宋体" w:cs="宋体"/>
          <w:b/>
          <w:bCs/>
          <w:color w:val="000000"/>
          <w:kern w:val="0"/>
          <w:sz w:val="24"/>
          <w:szCs w:val="24"/>
          <w:lang w:val="en-US" w:eastAsia="zh-CN" w:bidi="ar"/>
        </w:rPr>
        <w:noBreakHyphen/>
      </w:r>
      <w:r>
        <w:rPr>
          <w:rStyle w:val="10"/>
          <w:rFonts w:hint="eastAsia" w:ascii="宋体" w:hAnsi="宋体" w:eastAsia="宋体" w:cs="宋体"/>
          <w:b/>
          <w:bCs/>
          <w:color w:val="000000"/>
          <w:kern w:val="0"/>
          <w:sz w:val="24"/>
          <w:szCs w:val="24"/>
          <w:lang w:val="en-US" w:eastAsia="zh-CN" w:bidi="ar"/>
        </w:rPr>
        <w:t>55cm）</w:t>
      </w:r>
      <w:r>
        <w:rPr>
          <w:rFonts w:hint="eastAsia" w:ascii="宋体" w:hAnsi="宋体" w:eastAsia="宋体" w:cs="宋体"/>
          <w:color w:val="000000"/>
          <w:kern w:val="0"/>
          <w:sz w:val="24"/>
          <w:szCs w:val="24"/>
          <w:lang w:val="en-US" w:eastAsia="zh-CN" w:bidi="ar"/>
        </w:rPr>
        <w:t>：小绿萝、袖珍椰子、豆瓣绿、吊兰、白掌、虎皮兰、如意、红星、碧玉。</w:t>
      </w:r>
    </w:p>
    <w:p w14:paraId="5C3ED3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黑体" w:hAnsi="黑体" w:eastAsia="黑体" w:cs="黑体"/>
          <w:b w:val="0"/>
          <w:bCs w:val="0"/>
          <w:color w:val="000000"/>
          <w:sz w:val="30"/>
          <w:szCs w:val="30"/>
          <w:lang w:val="en-US" w:eastAsia="zh-CN"/>
        </w:rPr>
      </w:pPr>
      <w:r>
        <w:rPr>
          <w:rFonts w:hint="default" w:ascii="黑体" w:hAnsi="黑体" w:eastAsia="黑体" w:cs="黑体"/>
          <w:b w:val="0"/>
          <w:bCs w:val="0"/>
          <w:color w:val="000000"/>
          <w:sz w:val="30"/>
          <w:szCs w:val="30"/>
          <w:lang w:val="en-US" w:eastAsia="zh-CN"/>
        </w:rPr>
        <w:t>二、供应商的资格要求：</w:t>
      </w:r>
    </w:p>
    <w:p w14:paraId="321443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textAlignment w:val="baseline"/>
        <w:rPr>
          <w:rFonts w:hint="default" w:ascii="Times New Roman" w:hAnsi="Times New Roman" w:eastAsia="宋体" w:cs="Times New Roman"/>
          <w:i w:val="0"/>
          <w:iCs w:val="0"/>
          <w:caps w:val="0"/>
          <w:color w:val="auto"/>
          <w:spacing w:val="0"/>
          <w:sz w:val="24"/>
          <w:szCs w:val="24"/>
          <w:shd w:val="clear" w:color="auto" w:fill="FFFFFF"/>
          <w:vertAlign w:val="baseline"/>
        </w:rPr>
      </w:pPr>
      <w:r>
        <w:rPr>
          <w:rFonts w:hint="default" w:ascii="Times New Roman" w:hAnsi="Times New Roman" w:eastAsia="宋体" w:cs="Times New Roman"/>
          <w:i w:val="0"/>
          <w:iCs w:val="0"/>
          <w:caps w:val="0"/>
          <w:color w:val="auto"/>
          <w:spacing w:val="0"/>
          <w:sz w:val="24"/>
          <w:szCs w:val="24"/>
          <w:shd w:val="clear" w:color="auto" w:fill="FFFFFF"/>
          <w:vertAlign w:val="baseline"/>
        </w:rPr>
        <w:t>1.满足《中华人民共和国政府采购法》第二十二条规定；</w:t>
      </w:r>
    </w:p>
    <w:p w14:paraId="0D838F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textAlignment w:val="baseline"/>
        <w:rPr>
          <w:rFonts w:ascii="宋体" w:hAnsi="宋体" w:eastAsia="宋体" w:cs="宋体"/>
          <w:sz w:val="24"/>
          <w:szCs w:val="24"/>
        </w:rPr>
      </w:pPr>
      <w:r>
        <w:rPr>
          <w:rFonts w:hint="eastAsia" w:ascii="宋体" w:hAnsi="宋体" w:eastAsia="宋体" w:cs="宋体"/>
          <w:sz w:val="24"/>
          <w:szCs w:val="24"/>
          <w:lang w:val="en-US" w:eastAsia="zh-CN"/>
        </w:rPr>
        <w:t xml:space="preserve">1.1 </w:t>
      </w:r>
      <w:r>
        <w:rPr>
          <w:rFonts w:ascii="宋体" w:hAnsi="宋体" w:eastAsia="宋体" w:cs="宋体"/>
          <w:sz w:val="24"/>
          <w:szCs w:val="24"/>
        </w:rPr>
        <w:t xml:space="preserve">具有独立承担民事责任的能力； </w:t>
      </w:r>
    </w:p>
    <w:p w14:paraId="572FF0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textAlignment w:val="baseline"/>
        <w:rPr>
          <w:rFonts w:ascii="宋体" w:hAnsi="宋体" w:eastAsia="宋体" w:cs="宋体"/>
          <w:sz w:val="24"/>
          <w:szCs w:val="24"/>
        </w:rPr>
      </w:pPr>
      <w:r>
        <w:rPr>
          <w:rFonts w:hint="eastAsia" w:ascii="宋体" w:hAnsi="宋体" w:eastAsia="宋体" w:cs="宋体"/>
          <w:sz w:val="24"/>
          <w:szCs w:val="24"/>
          <w:lang w:val="en-US" w:eastAsia="zh-CN"/>
        </w:rPr>
        <w:t xml:space="preserve">1.2 </w:t>
      </w:r>
      <w:r>
        <w:rPr>
          <w:rFonts w:ascii="宋体" w:hAnsi="宋体" w:eastAsia="宋体" w:cs="宋体"/>
          <w:sz w:val="24"/>
          <w:szCs w:val="24"/>
        </w:rPr>
        <w:t xml:space="preserve">具有良好的商业信誉和健全的财务会计制度； </w:t>
      </w:r>
    </w:p>
    <w:p w14:paraId="1DECFDF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textAlignment w:val="baseline"/>
        <w:rPr>
          <w:rFonts w:ascii="宋体" w:hAnsi="宋体" w:eastAsia="宋体" w:cs="宋体"/>
          <w:sz w:val="24"/>
          <w:szCs w:val="24"/>
        </w:rPr>
      </w:pPr>
      <w:r>
        <w:rPr>
          <w:rFonts w:hint="eastAsia" w:ascii="宋体" w:hAnsi="宋体" w:eastAsia="宋体" w:cs="宋体"/>
          <w:sz w:val="24"/>
          <w:szCs w:val="24"/>
          <w:lang w:val="en-US" w:eastAsia="zh-CN"/>
        </w:rPr>
        <w:t xml:space="preserve">1.3 </w:t>
      </w:r>
      <w:r>
        <w:rPr>
          <w:rFonts w:ascii="宋体" w:hAnsi="宋体" w:eastAsia="宋体" w:cs="宋体"/>
          <w:sz w:val="24"/>
          <w:szCs w:val="24"/>
        </w:rPr>
        <w:t xml:space="preserve">具有履行合同所必需的设备和专业技术能力； </w:t>
      </w:r>
    </w:p>
    <w:p w14:paraId="2170B3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textAlignment w:val="baseline"/>
        <w:rPr>
          <w:rFonts w:ascii="宋体" w:hAnsi="宋体" w:eastAsia="宋体" w:cs="宋体"/>
          <w:sz w:val="24"/>
          <w:szCs w:val="24"/>
        </w:rPr>
      </w:pPr>
      <w:r>
        <w:rPr>
          <w:rFonts w:hint="eastAsia" w:ascii="宋体" w:hAnsi="宋体" w:eastAsia="宋体" w:cs="宋体"/>
          <w:sz w:val="24"/>
          <w:szCs w:val="24"/>
          <w:lang w:val="en-US" w:eastAsia="zh-CN"/>
        </w:rPr>
        <w:t xml:space="preserve">1.4 </w:t>
      </w:r>
      <w:r>
        <w:rPr>
          <w:rFonts w:ascii="宋体" w:hAnsi="宋体" w:eastAsia="宋体" w:cs="宋体"/>
          <w:sz w:val="24"/>
          <w:szCs w:val="24"/>
        </w:rPr>
        <w:t xml:space="preserve">有依法缴纳税收和社会保障资金的良好记录； </w:t>
      </w:r>
    </w:p>
    <w:p w14:paraId="62269D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textAlignment w:val="baseline"/>
        <w:rPr>
          <w:rFonts w:ascii="宋体" w:hAnsi="宋体" w:eastAsia="宋体" w:cs="宋体"/>
          <w:sz w:val="24"/>
          <w:szCs w:val="24"/>
        </w:rPr>
      </w:pPr>
      <w:r>
        <w:rPr>
          <w:rFonts w:hint="eastAsia" w:ascii="宋体" w:hAnsi="宋体" w:eastAsia="宋体" w:cs="宋体"/>
          <w:sz w:val="24"/>
          <w:szCs w:val="24"/>
          <w:lang w:val="en-US" w:eastAsia="zh-CN"/>
        </w:rPr>
        <w:t>1.5</w:t>
      </w:r>
      <w:r>
        <w:rPr>
          <w:rFonts w:ascii="宋体" w:hAnsi="宋体" w:eastAsia="宋体" w:cs="宋体"/>
          <w:sz w:val="24"/>
          <w:szCs w:val="24"/>
        </w:rPr>
        <w:t xml:space="preserve">参加政府采购活动前三年内，在经营活动中没有重大违法记录； </w:t>
      </w:r>
    </w:p>
    <w:p w14:paraId="7A3DDDE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textAlignment w:val="baseline"/>
        <w:rPr>
          <w:rFonts w:hint="default" w:ascii="Times New Roman" w:hAnsi="Times New Roman" w:eastAsia="宋体" w:cs="Times New Roman"/>
          <w:i w:val="0"/>
          <w:iCs w:val="0"/>
          <w:caps w:val="0"/>
          <w:color w:val="auto"/>
          <w:spacing w:val="0"/>
          <w:sz w:val="24"/>
          <w:szCs w:val="24"/>
          <w:shd w:val="clear" w:color="auto" w:fill="FFFFFF"/>
          <w:vertAlign w:val="baseline"/>
          <w:lang w:val="en-US" w:eastAsia="zh-CN"/>
        </w:rPr>
      </w:pPr>
      <w:r>
        <w:rPr>
          <w:rFonts w:hint="default" w:ascii="Times New Roman" w:hAnsi="Times New Roman" w:eastAsia="宋体" w:cs="Times New Roman"/>
          <w:i w:val="0"/>
          <w:iCs w:val="0"/>
          <w:caps w:val="0"/>
          <w:color w:val="auto"/>
          <w:spacing w:val="0"/>
          <w:sz w:val="24"/>
          <w:szCs w:val="24"/>
          <w:shd w:val="clear" w:color="auto" w:fill="FFFFFF"/>
          <w:vertAlign w:val="baseline"/>
          <w:lang w:val="en-US" w:eastAsia="zh-CN"/>
        </w:rPr>
        <w:t>2.投标人必须具备良好的市场信誉、经营业绩、管理水平以及全面、精干的专业技术队伍</w:t>
      </w:r>
      <w:r>
        <w:rPr>
          <w:rFonts w:hint="eastAsia" w:ascii="Times New Roman" w:hAnsi="Times New Roman" w:eastAsia="宋体" w:cs="Times New Roman"/>
          <w:i w:val="0"/>
          <w:iCs w:val="0"/>
          <w:caps w:val="0"/>
          <w:color w:val="auto"/>
          <w:spacing w:val="0"/>
          <w:sz w:val="24"/>
          <w:szCs w:val="24"/>
          <w:shd w:val="clear" w:color="auto" w:fill="FFFFFF"/>
          <w:vertAlign w:val="baseline"/>
          <w:lang w:val="en-US" w:eastAsia="zh-CN"/>
        </w:rPr>
        <w:t>；</w:t>
      </w:r>
    </w:p>
    <w:p w14:paraId="358A8A6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textAlignment w:val="baseline"/>
        <w:rPr>
          <w:rFonts w:hint="default"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pP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3.投标人</w:t>
      </w:r>
      <w:r>
        <w:rPr>
          <w:rFonts w:hint="default"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近三年内未受过</w:t>
      </w: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相关</w:t>
      </w:r>
      <w:r>
        <w:rPr>
          <w:rFonts w:hint="default"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主管部门行政处罚</w:t>
      </w: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w:t>
      </w:r>
    </w:p>
    <w:p w14:paraId="5AC4D3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黑体" w:hAnsi="黑体" w:eastAsia="黑体" w:cs="黑体"/>
          <w:b w:val="0"/>
          <w:bCs w:val="0"/>
          <w:color w:val="000000"/>
          <w:sz w:val="30"/>
          <w:szCs w:val="30"/>
          <w:lang w:val="en-US" w:eastAsia="zh-CN"/>
        </w:rPr>
      </w:pPr>
      <w:r>
        <w:rPr>
          <w:rFonts w:hint="default" w:ascii="黑体" w:hAnsi="黑体" w:eastAsia="黑体" w:cs="黑体"/>
          <w:b w:val="0"/>
          <w:bCs w:val="0"/>
          <w:color w:val="000000"/>
          <w:sz w:val="30"/>
          <w:szCs w:val="30"/>
          <w:lang w:val="en-US" w:eastAsia="zh-CN"/>
        </w:rPr>
        <w:t>三、服务内容及要求</w:t>
      </w:r>
    </w:p>
    <w:p w14:paraId="760032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日常盆栽租摆和节日盆栽租摆为租赁形式，</w:t>
      </w:r>
      <w:r>
        <w:rPr>
          <w:rStyle w:val="10"/>
          <w:rFonts w:ascii="宋体" w:hAnsi="宋体" w:eastAsia="宋体" w:cs="宋体"/>
          <w:b/>
          <w:bCs/>
          <w:color w:val="000000"/>
          <w:kern w:val="0"/>
          <w:sz w:val="24"/>
          <w:szCs w:val="24"/>
          <w:lang w:val="en-US" w:eastAsia="zh-CN" w:bidi="ar"/>
        </w:rPr>
        <w:t>每月摆放绿植总株数须维持120</w:t>
      </w:r>
      <w:r>
        <w:rPr>
          <w:rStyle w:val="10"/>
          <w:rFonts w:hint="eastAsia" w:ascii="宋体" w:hAnsi="宋体" w:eastAsia="宋体" w:cs="宋体"/>
          <w:b/>
          <w:bCs/>
          <w:color w:val="000000"/>
          <w:kern w:val="0"/>
          <w:sz w:val="24"/>
          <w:szCs w:val="24"/>
          <w:lang w:val="en-US" w:eastAsia="zh-CN" w:bidi="ar"/>
        </w:rPr>
        <w:t>（上浮动10%）</w:t>
      </w:r>
      <w:r>
        <w:rPr>
          <w:rStyle w:val="10"/>
          <w:rFonts w:ascii="宋体" w:hAnsi="宋体" w:eastAsia="宋体" w:cs="宋体"/>
          <w:b/>
          <w:bCs/>
          <w:color w:val="000000"/>
          <w:kern w:val="0"/>
          <w:sz w:val="24"/>
          <w:szCs w:val="24"/>
          <w:lang w:val="en-US" w:eastAsia="zh-CN" w:bidi="ar"/>
        </w:rPr>
        <w:t>株，实行月度包干总价，在该株数范围内同档次品种调换、位置调整，月度费用不作调整</w:t>
      </w:r>
      <w:r>
        <w:rPr>
          <w:rFonts w:ascii="宋体" w:hAnsi="宋体" w:eastAsia="宋体" w:cs="宋体"/>
          <w:color w:val="000000"/>
          <w:kern w:val="0"/>
          <w:sz w:val="24"/>
          <w:szCs w:val="24"/>
          <w:lang w:val="en-US" w:eastAsia="zh-CN" w:bidi="ar"/>
        </w:rPr>
        <w:t>。</w:t>
      </w:r>
    </w:p>
    <w:p w14:paraId="6764BE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适时做好室内花盆植物的养护。要根据室内、走廊等不同部位、不同花盆及植物，做好日常养护、浇水、除草、施肥、修剪、病虫害防治、杂物清理、植物叶面的保洁等工作，并防止花盆底部有过夜的积水，浇水后地面撒落的水及时清除；</w:t>
      </w:r>
      <w:r>
        <w:rPr>
          <w:rStyle w:val="10"/>
          <w:rFonts w:ascii="宋体" w:hAnsi="宋体" w:eastAsia="宋体" w:cs="宋体"/>
          <w:b/>
          <w:bCs/>
          <w:color w:val="000000"/>
          <w:kern w:val="0"/>
          <w:sz w:val="24"/>
          <w:szCs w:val="24"/>
          <w:lang w:val="en-US" w:eastAsia="zh-CN" w:bidi="ar"/>
        </w:rPr>
        <w:t>病虫害防治优先物理、生物防治，如需使用药剂，必须选用低毒、低气味药剂，避开诊疗高峰时段作业</w:t>
      </w:r>
      <w:r>
        <w:rPr>
          <w:rFonts w:ascii="宋体" w:hAnsi="宋体" w:eastAsia="宋体" w:cs="宋体"/>
          <w:color w:val="000000"/>
          <w:kern w:val="0"/>
          <w:sz w:val="24"/>
          <w:szCs w:val="24"/>
          <w:lang w:val="en-US" w:eastAsia="zh-CN" w:bidi="ar"/>
        </w:rPr>
        <w:t>。</w:t>
      </w:r>
    </w:p>
    <w:p w14:paraId="010D19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如植株或花卉叶片发黄干枯、枯萎或死亡，需3日内免费更新；更新后品种规格档次不低于原植物，更新不计额外费用。</w:t>
      </w:r>
    </w:p>
    <w:p w14:paraId="47232D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盆栽租摆报价含人工费用、运输费用、搬运费、绿植损耗更换、盆器耗材、垃圾清运、日常管理费用等全部费用。</w:t>
      </w:r>
    </w:p>
    <w:p w14:paraId="600FC5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hint="eastAsia" w:ascii="宋体" w:hAnsi="宋体" w:eastAsia="宋体" w:cs="宋体"/>
          <w:color w:val="000000"/>
          <w:kern w:val="0"/>
          <w:sz w:val="24"/>
          <w:szCs w:val="24"/>
          <w:lang w:val="en-US" w:eastAsia="zh-CN" w:bidi="ar"/>
        </w:rPr>
        <w:t>5.</w:t>
      </w:r>
      <w:r>
        <w:rPr>
          <w:rFonts w:ascii="宋体" w:hAnsi="宋体" w:eastAsia="宋体" w:cs="宋体"/>
          <w:color w:val="000000"/>
          <w:kern w:val="0"/>
          <w:sz w:val="24"/>
          <w:szCs w:val="24"/>
          <w:lang w:val="en-US" w:eastAsia="zh-CN" w:bidi="ar"/>
        </w:rPr>
        <w:t>供应商进场布置完成后，提交《绿植摆放点位清单》，列明各区域大型、中型、小型绿植数量，合计总株数控制120</w:t>
      </w:r>
      <w:r>
        <w:rPr>
          <w:rFonts w:hint="eastAsia" w:ascii="宋体" w:hAnsi="宋体" w:eastAsia="宋体" w:cs="宋体"/>
          <w:color w:val="000000"/>
          <w:kern w:val="0"/>
          <w:sz w:val="24"/>
          <w:szCs w:val="24"/>
          <w:lang w:val="en-US" w:eastAsia="zh-CN" w:bidi="ar"/>
        </w:rPr>
        <w:t>（上浮动10%）</w:t>
      </w:r>
      <w:r>
        <w:rPr>
          <w:rFonts w:ascii="宋体" w:hAnsi="宋体" w:eastAsia="宋体" w:cs="宋体"/>
          <w:color w:val="000000"/>
          <w:kern w:val="0"/>
          <w:sz w:val="24"/>
          <w:szCs w:val="24"/>
          <w:lang w:val="en-US" w:eastAsia="zh-CN" w:bidi="ar"/>
        </w:rPr>
        <w:t>株，经采购人确认后执行；后续如需品种轮换，在不改变各规格档次数量、总株数前提下，提前提交调整清单给采购人确认，</w:t>
      </w:r>
      <w:r>
        <w:rPr>
          <w:rStyle w:val="10"/>
          <w:rFonts w:ascii="宋体" w:hAnsi="宋体" w:eastAsia="宋体" w:cs="宋体"/>
          <w:b/>
          <w:bCs/>
          <w:color w:val="000000"/>
          <w:kern w:val="0"/>
          <w:sz w:val="24"/>
          <w:szCs w:val="24"/>
          <w:lang w:val="en-US" w:eastAsia="zh-CN" w:bidi="ar"/>
        </w:rPr>
        <w:t>不增加月度服务费用</w:t>
      </w:r>
      <w:r>
        <w:rPr>
          <w:rFonts w:ascii="宋体" w:hAnsi="宋体" w:eastAsia="宋体" w:cs="宋体"/>
          <w:color w:val="000000"/>
          <w:kern w:val="0"/>
          <w:sz w:val="24"/>
          <w:szCs w:val="24"/>
          <w:lang w:val="en-US" w:eastAsia="zh-CN" w:bidi="ar"/>
        </w:rPr>
        <w:t>。</w:t>
      </w:r>
    </w:p>
    <w:p w14:paraId="505680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hint="eastAsia" w:ascii="宋体" w:hAnsi="宋体" w:eastAsia="宋体" w:cs="宋体"/>
          <w:color w:val="000000"/>
          <w:kern w:val="0"/>
          <w:sz w:val="24"/>
          <w:szCs w:val="24"/>
          <w:lang w:val="en-US" w:eastAsia="zh-CN" w:bidi="ar"/>
        </w:rPr>
        <w:t>6.</w:t>
      </w:r>
      <w:r>
        <w:rPr>
          <w:rFonts w:ascii="宋体" w:hAnsi="宋体" w:eastAsia="宋体" w:cs="宋体"/>
          <w:color w:val="000000"/>
          <w:kern w:val="0"/>
          <w:sz w:val="24"/>
          <w:szCs w:val="24"/>
          <w:lang w:val="en-US" w:eastAsia="zh-CN" w:bidi="ar"/>
        </w:rPr>
        <w:t>节假日、迎检接待需要增加临时花卉，优先在月度120</w:t>
      </w:r>
      <w:r>
        <w:rPr>
          <w:rFonts w:hint="eastAsia" w:ascii="宋体" w:hAnsi="宋体" w:eastAsia="宋体" w:cs="宋体"/>
          <w:color w:val="000000"/>
          <w:kern w:val="0"/>
          <w:sz w:val="24"/>
          <w:szCs w:val="24"/>
          <w:lang w:val="en-US" w:eastAsia="zh-CN" w:bidi="ar"/>
        </w:rPr>
        <w:t>（上浮动10%）</w:t>
      </w:r>
      <w:r>
        <w:rPr>
          <w:rFonts w:ascii="宋体" w:hAnsi="宋体" w:eastAsia="宋体" w:cs="宋体"/>
          <w:color w:val="000000"/>
          <w:kern w:val="0"/>
          <w:sz w:val="24"/>
          <w:szCs w:val="24"/>
          <w:lang w:val="en-US" w:eastAsia="zh-CN" w:bidi="ar"/>
        </w:rPr>
        <w:t>株总数量内进行品种替换，不再额外收取费用；确需超出</w:t>
      </w:r>
      <w:r>
        <w:rPr>
          <w:rFonts w:hint="eastAsia" w:ascii="宋体" w:hAnsi="宋体" w:eastAsia="宋体" w:cs="宋体"/>
          <w:color w:val="000000"/>
          <w:kern w:val="0"/>
          <w:sz w:val="24"/>
          <w:szCs w:val="24"/>
          <w:lang w:val="en-US" w:eastAsia="zh-CN" w:bidi="ar"/>
        </w:rPr>
        <w:t>130</w:t>
      </w:r>
      <w:r>
        <w:rPr>
          <w:rFonts w:ascii="宋体" w:hAnsi="宋体" w:eastAsia="宋体" w:cs="宋体"/>
          <w:color w:val="000000"/>
          <w:kern w:val="0"/>
          <w:sz w:val="24"/>
          <w:szCs w:val="24"/>
          <w:lang w:val="en-US" w:eastAsia="zh-CN" w:bidi="ar"/>
        </w:rPr>
        <w:t>株的，须经采购人书面确认，另行协商费用，未经确认采购人不予支付。</w:t>
      </w:r>
    </w:p>
    <w:p w14:paraId="303B72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黑体" w:hAnsi="黑体" w:eastAsia="黑体" w:cs="黑体"/>
          <w:b w:val="0"/>
          <w:bCs w:val="0"/>
          <w:color w:val="000000"/>
          <w:sz w:val="30"/>
          <w:szCs w:val="30"/>
          <w:lang w:val="en-US" w:eastAsia="zh-CN"/>
        </w:rPr>
      </w:pPr>
      <w:r>
        <w:rPr>
          <w:rFonts w:hint="eastAsia" w:ascii="黑体" w:hAnsi="黑体" w:eastAsia="黑体" w:cs="黑体"/>
          <w:b w:val="0"/>
          <w:bCs w:val="0"/>
          <w:color w:val="000000"/>
          <w:sz w:val="30"/>
          <w:szCs w:val="30"/>
          <w:lang w:val="en-US" w:eastAsia="zh-CN"/>
        </w:rPr>
        <w:t>四</w:t>
      </w:r>
      <w:r>
        <w:rPr>
          <w:rFonts w:hint="default" w:ascii="黑体" w:hAnsi="黑体" w:eastAsia="黑体" w:cs="黑体"/>
          <w:b w:val="0"/>
          <w:bCs w:val="0"/>
          <w:color w:val="000000"/>
          <w:sz w:val="30"/>
          <w:szCs w:val="30"/>
          <w:lang w:val="en-US" w:eastAsia="zh-CN"/>
        </w:rPr>
        <w:t>、考核验收</w:t>
      </w:r>
    </w:p>
    <w:p w14:paraId="65AF47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依据附件一《考核细则》进行考评。</w:t>
      </w:r>
    </w:p>
    <w:p w14:paraId="7CEFA9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黑体" w:hAnsi="黑体" w:eastAsia="黑体" w:cs="黑体"/>
          <w:b w:val="0"/>
          <w:bCs w:val="0"/>
          <w:color w:val="000000"/>
          <w:sz w:val="30"/>
          <w:szCs w:val="30"/>
          <w:lang w:val="en-US" w:eastAsia="zh-CN"/>
        </w:rPr>
      </w:pPr>
      <w:r>
        <w:rPr>
          <w:rFonts w:hint="eastAsia" w:ascii="黑体" w:hAnsi="黑体" w:eastAsia="黑体" w:cs="黑体"/>
          <w:b w:val="0"/>
          <w:bCs w:val="0"/>
          <w:color w:val="000000"/>
          <w:sz w:val="30"/>
          <w:szCs w:val="30"/>
          <w:lang w:val="en-US" w:eastAsia="zh-CN"/>
        </w:rPr>
        <w:t>五</w:t>
      </w:r>
      <w:r>
        <w:rPr>
          <w:rFonts w:hint="default" w:ascii="黑体" w:hAnsi="黑体" w:eastAsia="黑体" w:cs="黑体"/>
          <w:b w:val="0"/>
          <w:bCs w:val="0"/>
          <w:color w:val="000000"/>
          <w:sz w:val="30"/>
          <w:szCs w:val="30"/>
          <w:lang w:val="en-US" w:eastAsia="zh-CN"/>
        </w:rPr>
        <w:t>、服务人员基本素质要求</w:t>
      </w:r>
    </w:p>
    <w:p w14:paraId="15DD5C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人员年龄不得超过 55 岁；如遇特殊情况需加派人员及相应的机械设备（如遇医院有迎检、招待、应对恶劣天气等任务，供应商需及时补充充足人力配合医院工作）。养护项目负责人应有绿化养护相关资格证书，要求在大专及以上学历，年龄 18</w:t>
      </w:r>
      <w:r>
        <w:rPr>
          <w:rFonts w:ascii="宋体" w:hAnsi="宋体" w:eastAsia="宋体" w:cs="宋体"/>
          <w:color w:val="000000"/>
          <w:kern w:val="0"/>
          <w:sz w:val="24"/>
          <w:szCs w:val="24"/>
          <w:lang w:val="en-US" w:eastAsia="zh-CN" w:bidi="ar"/>
        </w:rPr>
        <w:noBreakHyphen/>
      </w:r>
      <w:r>
        <w:rPr>
          <w:rFonts w:ascii="宋体" w:hAnsi="宋体" w:eastAsia="宋体" w:cs="宋体"/>
          <w:color w:val="000000"/>
          <w:kern w:val="0"/>
          <w:sz w:val="24"/>
          <w:szCs w:val="24"/>
          <w:lang w:val="en-US" w:eastAsia="zh-CN" w:bidi="ar"/>
        </w:rPr>
        <w:t>55 周岁。</w:t>
      </w:r>
    </w:p>
    <w:p w14:paraId="5550B5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身体健康无传染病，有正常的工作能力。</w:t>
      </w:r>
    </w:p>
    <w:p w14:paraId="4712EF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思想进步，无犯罪纪录。</w:t>
      </w:r>
    </w:p>
    <w:p w14:paraId="5A9E13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遵守法纪法规，遵守医院规章制度，能积极配合医院完成接待、参观等活动。5</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供应商指派具有相应资质的从业人员为医院提供专业绿化养护服务，并严格组织安全生产教育、培训和管理，承担所有安全生产责任。作业期间，承包方作业人员出现的工伤及伤亡事故，由供应商承担相关责任，医院不负任何责任。</w:t>
      </w:r>
    </w:p>
    <w:p w14:paraId="49BA2A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黑体" w:hAnsi="黑体" w:eastAsia="黑体" w:cs="黑体"/>
          <w:b w:val="0"/>
          <w:bCs w:val="0"/>
          <w:color w:val="000000"/>
          <w:sz w:val="30"/>
          <w:szCs w:val="30"/>
          <w:lang w:val="en-US" w:eastAsia="zh-CN"/>
        </w:rPr>
      </w:pPr>
      <w:r>
        <w:rPr>
          <w:rFonts w:hint="eastAsia" w:ascii="黑体" w:hAnsi="黑体" w:eastAsia="黑体" w:cs="黑体"/>
          <w:b w:val="0"/>
          <w:bCs w:val="0"/>
          <w:color w:val="000000"/>
          <w:sz w:val="30"/>
          <w:szCs w:val="30"/>
          <w:lang w:val="en-US" w:eastAsia="zh-CN"/>
        </w:rPr>
        <w:t>六</w:t>
      </w:r>
      <w:r>
        <w:rPr>
          <w:rFonts w:hint="default" w:ascii="黑体" w:hAnsi="黑体" w:eastAsia="黑体" w:cs="黑体"/>
          <w:b w:val="0"/>
          <w:bCs w:val="0"/>
          <w:color w:val="000000"/>
          <w:sz w:val="30"/>
          <w:szCs w:val="30"/>
          <w:lang w:val="en-US" w:eastAsia="zh-CN"/>
        </w:rPr>
        <w:t>、报价要求及付款条件</w:t>
      </w:r>
    </w:p>
    <w:p w14:paraId="19A699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付款条件合同款支付方式为：按月考核，按</w:t>
      </w:r>
      <w:r>
        <w:rPr>
          <w:rFonts w:hint="eastAsia" w:ascii="宋体" w:hAnsi="宋体" w:eastAsia="宋体" w:cs="宋体"/>
          <w:color w:val="000000"/>
          <w:kern w:val="0"/>
          <w:sz w:val="24"/>
          <w:szCs w:val="24"/>
          <w:lang w:val="en-US" w:eastAsia="zh-CN" w:bidi="ar"/>
        </w:rPr>
        <w:t>季度</w:t>
      </w:r>
      <w:r>
        <w:rPr>
          <w:rFonts w:ascii="宋体" w:hAnsi="宋体" w:eastAsia="宋体" w:cs="宋体"/>
          <w:color w:val="000000"/>
          <w:kern w:val="0"/>
          <w:sz w:val="24"/>
          <w:szCs w:val="24"/>
          <w:lang w:val="en-US" w:eastAsia="zh-CN" w:bidi="ar"/>
        </w:rPr>
        <w:t>结算，每</w:t>
      </w:r>
      <w:r>
        <w:rPr>
          <w:rFonts w:hint="eastAsia" w:ascii="宋体" w:hAnsi="宋体" w:eastAsia="宋体" w:cs="宋体"/>
          <w:color w:val="000000"/>
          <w:kern w:val="0"/>
          <w:sz w:val="24"/>
          <w:szCs w:val="24"/>
          <w:lang w:val="en-US" w:eastAsia="zh-CN" w:bidi="ar"/>
        </w:rPr>
        <w:t>季度</w:t>
      </w:r>
      <w:r>
        <w:rPr>
          <w:rFonts w:ascii="宋体" w:hAnsi="宋体" w:eastAsia="宋体" w:cs="宋体"/>
          <w:color w:val="000000"/>
          <w:kern w:val="0"/>
          <w:sz w:val="24"/>
          <w:szCs w:val="24"/>
          <w:lang w:val="en-US" w:eastAsia="zh-CN" w:bidi="ar"/>
        </w:rPr>
        <w:t>支付一次，若期间有罚款，开票金额为上</w:t>
      </w:r>
      <w:r>
        <w:rPr>
          <w:rFonts w:hint="eastAsia" w:ascii="宋体" w:hAnsi="宋体" w:eastAsia="宋体" w:cs="宋体"/>
          <w:color w:val="000000"/>
          <w:kern w:val="0"/>
          <w:sz w:val="24"/>
          <w:szCs w:val="24"/>
          <w:lang w:val="en-US" w:eastAsia="zh-CN" w:bidi="ar"/>
        </w:rPr>
        <w:t>季度</w:t>
      </w:r>
      <w:r>
        <w:rPr>
          <w:rFonts w:ascii="宋体" w:hAnsi="宋体" w:eastAsia="宋体" w:cs="宋体"/>
          <w:color w:val="000000"/>
          <w:kern w:val="0"/>
          <w:sz w:val="24"/>
          <w:szCs w:val="24"/>
          <w:lang w:val="en-US" w:eastAsia="zh-CN" w:bidi="ar"/>
        </w:rPr>
        <w:t>的合同款扣除罚款金额。</w:t>
      </w:r>
      <w:r>
        <w:rPr>
          <w:rStyle w:val="10"/>
          <w:rFonts w:ascii="宋体" w:hAnsi="宋体" w:eastAsia="宋体" w:cs="宋体"/>
          <w:b/>
          <w:bCs/>
          <w:color w:val="000000"/>
          <w:kern w:val="0"/>
          <w:sz w:val="24"/>
          <w:szCs w:val="24"/>
          <w:lang w:val="en-US" w:eastAsia="zh-CN" w:bidi="ar"/>
        </w:rPr>
        <w:t>本项目为月度包干总价，总报价为 2 年（24 个月）总包干价，折算每月固定包干价；每月摆放绿植120</w:t>
      </w:r>
      <w:r>
        <w:rPr>
          <w:rStyle w:val="10"/>
          <w:rFonts w:hint="eastAsia" w:ascii="宋体" w:hAnsi="宋体" w:eastAsia="宋体" w:cs="宋体"/>
          <w:b/>
          <w:bCs/>
          <w:color w:val="000000"/>
          <w:kern w:val="0"/>
          <w:sz w:val="24"/>
          <w:szCs w:val="24"/>
          <w:lang w:val="en-US" w:eastAsia="zh-CN" w:bidi="ar"/>
        </w:rPr>
        <w:t>（上浮动10%）</w:t>
      </w:r>
      <w:r>
        <w:rPr>
          <w:rStyle w:val="10"/>
          <w:rFonts w:ascii="宋体" w:hAnsi="宋体" w:eastAsia="宋体" w:cs="宋体"/>
          <w:b/>
          <w:bCs/>
          <w:color w:val="000000"/>
          <w:kern w:val="0"/>
          <w:sz w:val="24"/>
          <w:szCs w:val="24"/>
          <w:lang w:val="en-US" w:eastAsia="zh-CN" w:bidi="ar"/>
        </w:rPr>
        <w:t>株区间，品种轮换、位置调整不改变月度包干价格</w:t>
      </w:r>
      <w:r>
        <w:rPr>
          <w:rFonts w:ascii="宋体" w:hAnsi="宋体" w:eastAsia="宋体" w:cs="宋体"/>
          <w:color w:val="000000"/>
          <w:kern w:val="0"/>
          <w:sz w:val="24"/>
          <w:szCs w:val="24"/>
          <w:lang w:val="en-US" w:eastAsia="zh-CN" w:bidi="ar"/>
        </w:rPr>
        <w:t>。所有付款均需乙方开具正规税务发票，甲方于接到有效发票等全部资料后支付</w:t>
      </w:r>
      <w:r>
        <w:rPr>
          <w:rFonts w:hint="eastAsia" w:ascii="宋体" w:hAnsi="宋体" w:eastAsia="宋体" w:cs="宋体"/>
          <w:color w:val="000000"/>
          <w:kern w:val="0"/>
          <w:sz w:val="24"/>
          <w:szCs w:val="24"/>
          <w:lang w:val="en-US" w:eastAsia="zh-CN" w:bidi="ar"/>
        </w:rPr>
        <w:t>款项</w:t>
      </w:r>
      <w:r>
        <w:rPr>
          <w:rFonts w:ascii="宋体" w:hAnsi="宋体" w:eastAsia="宋体" w:cs="宋体"/>
          <w:color w:val="000000"/>
          <w:kern w:val="0"/>
          <w:sz w:val="24"/>
          <w:szCs w:val="24"/>
          <w:lang w:val="en-US" w:eastAsia="zh-CN" w:bidi="ar"/>
        </w:rPr>
        <w:t>。</w:t>
      </w:r>
    </w:p>
    <w:p w14:paraId="4B9307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报价要求</w:t>
      </w:r>
    </w:p>
    <w:p w14:paraId="142AEC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2.1 采购预算为总报价的最高限价，总报价超过采购预算的属投标无效；一旦确认某一投标人中标，除合同规定的可调整内容外，中标单位不得要求追加任何费用。</w:t>
      </w:r>
    </w:p>
    <w:p w14:paraId="156131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2.2 投标人应根据国家的有关规定和招标文件要求并结合企业的实际情况进行投标报价。投标报价以人民币为结算货币，</w:t>
      </w:r>
      <w:r>
        <w:rPr>
          <w:rStyle w:val="10"/>
          <w:rFonts w:ascii="宋体" w:hAnsi="宋体" w:eastAsia="宋体" w:cs="宋体"/>
          <w:b/>
          <w:bCs/>
          <w:color w:val="000000"/>
          <w:kern w:val="0"/>
          <w:sz w:val="24"/>
          <w:szCs w:val="24"/>
          <w:lang w:val="en-US" w:eastAsia="zh-CN" w:bidi="ar"/>
        </w:rPr>
        <w:t>投标为 24 个月总包干报价，报价包含：120株 / 月绿植租赁、人工费、花卉苗木费、盆器、机具费、材料费、垃圾清运、管理、保险、利润、税金、植物损耗更新、节日轮换、完成本项目的其它费用和政策性文件规定及合同包含的所有风险、责任等各项应有费用，如有漏项，视同已包含在其总项目中，合同总价不予调整</w:t>
      </w:r>
      <w:r>
        <w:rPr>
          <w:rFonts w:ascii="宋体" w:hAnsi="宋体" w:eastAsia="宋体" w:cs="宋体"/>
          <w:color w:val="000000"/>
          <w:kern w:val="0"/>
          <w:sz w:val="24"/>
          <w:szCs w:val="24"/>
          <w:lang w:val="en-US" w:eastAsia="zh-CN" w:bidi="ar"/>
        </w:rPr>
        <w:t>。</w:t>
      </w:r>
    </w:p>
    <w:p w14:paraId="23EFF6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2.3 投标人应按规定的报价格式进行投标报价。投标人对每种服务只允许有一个报价，采购人不接受任何有选择性的报价。现场院内议标二次报价时在投标文件报价的基础上进行折扣报价。</w:t>
      </w:r>
    </w:p>
    <w:p w14:paraId="324EF2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2.4 采购人不接受低于成本的投标报价，也不接受招标项目范围内的捐赠。</w:t>
      </w:r>
    </w:p>
    <w:p w14:paraId="39CB8C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2.5 一旦确认某一投标人中标，除合同规定的可调整内容外，中标人不得要求追加任何费用。</w:t>
      </w:r>
    </w:p>
    <w:p w14:paraId="65DAAF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color w:val="000000"/>
          <w:sz w:val="24"/>
          <w:szCs w:val="24"/>
        </w:rPr>
      </w:pPr>
      <w:r>
        <w:rPr>
          <w:rFonts w:ascii="宋体" w:hAnsi="宋体" w:eastAsia="宋体" w:cs="宋体"/>
          <w:color w:val="000000"/>
          <w:kern w:val="0"/>
          <w:sz w:val="24"/>
          <w:szCs w:val="24"/>
          <w:lang w:val="en-US" w:eastAsia="zh-CN" w:bidi="ar"/>
        </w:rPr>
        <w:t>2.6 须由中标单位开具正式发票。</w:t>
      </w:r>
    </w:p>
    <w:p w14:paraId="15EAE4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720" w:firstLine="480" w:firstLineChars="200"/>
        <w:jc w:val="left"/>
        <w:textAlignment w:val="auto"/>
        <w:rPr>
          <w:rFonts w:hint="eastAsia" w:ascii="黑体" w:hAnsi="黑体" w:eastAsia="黑体" w:cs="黑体"/>
          <w:b w:val="0"/>
          <w:bCs w:val="0"/>
          <w:color w:val="000000"/>
          <w:kern w:val="0"/>
          <w:sz w:val="32"/>
          <w:szCs w:val="32"/>
          <w:lang w:val="en-US" w:eastAsia="zh-CN" w:bidi="ar"/>
        </w:rPr>
      </w:pPr>
      <w:r>
        <w:rPr>
          <w:rFonts w:hint="eastAsia" w:ascii="宋体" w:hAnsi="宋体" w:eastAsia="宋体" w:cs="宋体"/>
          <w:color w:val="000000"/>
          <w:kern w:val="0"/>
          <w:sz w:val="24"/>
          <w:szCs w:val="24"/>
          <w:lang w:val="en-US" w:eastAsia="zh-CN" w:bidi="ar"/>
        </w:rPr>
        <w:t>报价说明：投标人填写报价一览表，填写</w:t>
      </w:r>
      <w:r>
        <w:rPr>
          <w:rStyle w:val="10"/>
          <w:rFonts w:hint="eastAsia" w:ascii="宋体" w:hAnsi="宋体" w:eastAsia="宋体" w:cs="宋体"/>
          <w:b/>
          <w:bCs/>
          <w:color w:val="000000"/>
          <w:kern w:val="0"/>
          <w:sz w:val="24"/>
          <w:szCs w:val="24"/>
          <w:lang w:val="en-US" w:eastAsia="zh-CN" w:bidi="ar"/>
        </w:rPr>
        <w:t>24 个月总包干价，折算每月包干价</w:t>
      </w:r>
      <w:r>
        <w:rPr>
          <w:rFonts w:hint="eastAsia" w:ascii="宋体" w:hAnsi="宋体" w:eastAsia="宋体" w:cs="宋体"/>
          <w:color w:val="000000"/>
          <w:kern w:val="0"/>
          <w:sz w:val="24"/>
          <w:szCs w:val="24"/>
          <w:lang w:val="en-US" w:eastAsia="zh-CN" w:bidi="ar"/>
        </w:rPr>
        <w:t>；表格中植物单价仅作为方案配置参考，</w:t>
      </w:r>
      <w:r>
        <w:rPr>
          <w:rStyle w:val="10"/>
          <w:rFonts w:hint="eastAsia" w:ascii="宋体" w:hAnsi="宋体" w:eastAsia="宋体" w:cs="宋体"/>
          <w:b/>
          <w:bCs/>
          <w:color w:val="000000"/>
          <w:kern w:val="0"/>
          <w:sz w:val="24"/>
          <w:szCs w:val="24"/>
          <w:lang w:val="en-US" w:eastAsia="zh-CN" w:bidi="ar"/>
        </w:rPr>
        <w:t>本项目执行整体总价包干，不以单株单价结算</w:t>
      </w:r>
      <w:r>
        <w:rPr>
          <w:rFonts w:hint="eastAsia" w:ascii="宋体" w:hAnsi="宋体" w:eastAsia="宋体" w:cs="宋体"/>
          <w:color w:val="000000"/>
          <w:kern w:val="0"/>
          <w:sz w:val="24"/>
          <w:szCs w:val="24"/>
          <w:lang w:val="en-US" w:eastAsia="zh-CN" w:bidi="ar"/>
        </w:rPr>
        <w:t>。</w:t>
      </w:r>
    </w:p>
    <w:p w14:paraId="010D96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黑体" w:hAnsi="黑体" w:eastAsia="黑体" w:cs="黑体"/>
          <w:b w:val="0"/>
          <w:bCs w:val="0"/>
          <w:color w:val="000000"/>
          <w:sz w:val="30"/>
          <w:szCs w:val="30"/>
          <w:lang w:val="en-US" w:eastAsia="zh-CN"/>
        </w:rPr>
      </w:pPr>
      <w:r>
        <w:rPr>
          <w:rFonts w:hint="eastAsia" w:ascii="黑体" w:hAnsi="黑体" w:eastAsia="黑体" w:cs="黑体"/>
          <w:b w:val="0"/>
          <w:bCs w:val="0"/>
          <w:color w:val="000000"/>
          <w:sz w:val="30"/>
          <w:szCs w:val="30"/>
          <w:lang w:val="en-US" w:eastAsia="zh-CN"/>
        </w:rPr>
        <w:t>七</w:t>
      </w:r>
      <w:r>
        <w:rPr>
          <w:rFonts w:hint="default" w:ascii="黑体" w:hAnsi="黑体" w:eastAsia="黑体" w:cs="黑体"/>
          <w:b w:val="0"/>
          <w:bCs w:val="0"/>
          <w:color w:val="000000"/>
          <w:sz w:val="30"/>
          <w:szCs w:val="30"/>
          <w:lang w:val="en-US" w:eastAsia="zh-CN"/>
        </w:rPr>
        <w:t>、具体评审办法</w:t>
      </w:r>
    </w:p>
    <w:p w14:paraId="072D8F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602" w:firstLineChars="250"/>
        <w:textAlignment w:val="auto"/>
        <w:rPr>
          <w:rFonts w:hint="eastAsia"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b/>
          <w:bCs/>
          <w:color w:val="000000"/>
          <w:sz w:val="24"/>
          <w:szCs w:val="24"/>
          <w:highlight w:val="none"/>
          <w:lang w:val="en-US" w:eastAsia="zh-CN"/>
        </w:rPr>
        <w:t>（一）商务技术评审，满分为80分，分值分配见表格。</w:t>
      </w:r>
    </w:p>
    <w:p w14:paraId="7684F2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600" w:firstLineChars="250"/>
        <w:textAlignment w:val="auto"/>
        <w:rPr>
          <w:rFonts w:hint="eastAsia"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院内采购小组成员根据评分细则，对各投标人的商务技术部分进行书面审核和评论后，由各专家独立酌情给分，打分时保留整数，每人一份评分表，并签名。在统计得分时，如果发现某一单项评分超过评分标准规定的分值范围，则该张评分表无效。投标人最终得分为评标委员会所有成员的有效评分的算术平均值，计算时保留小数2位。</w:t>
      </w:r>
    </w:p>
    <w:tbl>
      <w:tblPr>
        <w:tblStyle w:val="7"/>
        <w:tblW w:w="9159" w:type="dxa"/>
        <w:tblInd w:w="118" w:type="dxa"/>
        <w:tblLayout w:type="autofit"/>
        <w:tblCellMar>
          <w:top w:w="0" w:type="dxa"/>
          <w:left w:w="108" w:type="dxa"/>
          <w:bottom w:w="0" w:type="dxa"/>
          <w:right w:w="108" w:type="dxa"/>
        </w:tblCellMar>
      </w:tblPr>
      <w:tblGrid>
        <w:gridCol w:w="902"/>
        <w:gridCol w:w="3103"/>
        <w:gridCol w:w="3857"/>
        <w:gridCol w:w="1297"/>
      </w:tblGrid>
      <w:tr w14:paraId="51C49DCB">
        <w:tblPrEx>
          <w:tblCellMar>
            <w:top w:w="0" w:type="dxa"/>
            <w:left w:w="108" w:type="dxa"/>
            <w:bottom w:w="0" w:type="dxa"/>
            <w:right w:w="108" w:type="dxa"/>
          </w:tblCellMar>
        </w:tblPrEx>
        <w:trPr>
          <w:trHeight w:val="305" w:hRule="atLeast"/>
        </w:trPr>
        <w:tc>
          <w:tcPr>
            <w:tcW w:w="902" w:type="dxa"/>
            <w:vMerge w:val="restart"/>
            <w:tcBorders>
              <w:top w:val="single" w:color="auto" w:sz="8" w:space="0"/>
              <w:left w:val="single" w:color="auto" w:sz="8" w:space="0"/>
              <w:bottom w:val="single" w:color="000000" w:sz="8" w:space="0"/>
              <w:right w:val="single" w:color="auto" w:sz="8" w:space="0"/>
            </w:tcBorders>
            <w:noWrap w:val="0"/>
            <w:vAlign w:val="center"/>
          </w:tcPr>
          <w:p w14:paraId="0E21AAC2">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6960" w:type="dxa"/>
            <w:gridSpan w:val="2"/>
            <w:vMerge w:val="restart"/>
            <w:tcBorders>
              <w:top w:val="single" w:color="auto" w:sz="8" w:space="0"/>
              <w:left w:val="single" w:color="auto" w:sz="8" w:space="0"/>
              <w:bottom w:val="single" w:color="000000" w:sz="8" w:space="0"/>
              <w:right w:val="single" w:color="000000" w:sz="8" w:space="0"/>
            </w:tcBorders>
            <w:noWrap w:val="0"/>
            <w:vAlign w:val="center"/>
          </w:tcPr>
          <w:p w14:paraId="1030599D">
            <w:pPr>
              <w:widowControl/>
              <w:jc w:val="center"/>
              <w:rPr>
                <w:rFonts w:ascii="宋体" w:hAnsi="宋体" w:cs="宋体"/>
                <w:b/>
                <w:bCs/>
                <w:color w:val="000000"/>
                <w:kern w:val="0"/>
                <w:sz w:val="24"/>
              </w:rPr>
            </w:pPr>
            <w:r>
              <w:rPr>
                <w:rFonts w:hint="eastAsia" w:ascii="宋体" w:hAnsi="宋体" w:cs="宋体"/>
                <w:b/>
                <w:bCs/>
                <w:color w:val="000000"/>
                <w:kern w:val="0"/>
                <w:sz w:val="24"/>
              </w:rPr>
              <w:t>评分因素及评分细则</w:t>
            </w:r>
          </w:p>
        </w:tc>
        <w:tc>
          <w:tcPr>
            <w:tcW w:w="1297" w:type="dxa"/>
            <w:tcBorders>
              <w:top w:val="single" w:color="auto" w:sz="8" w:space="0"/>
              <w:left w:val="nil"/>
              <w:bottom w:val="nil"/>
              <w:right w:val="single" w:color="auto" w:sz="8" w:space="0"/>
            </w:tcBorders>
            <w:noWrap w:val="0"/>
            <w:vAlign w:val="center"/>
          </w:tcPr>
          <w:p w14:paraId="7FC8C183">
            <w:pPr>
              <w:widowControl/>
              <w:jc w:val="center"/>
              <w:rPr>
                <w:rFonts w:ascii="宋体" w:hAnsi="宋体" w:cs="宋体"/>
                <w:b/>
                <w:bCs/>
                <w:color w:val="000000"/>
                <w:kern w:val="0"/>
                <w:sz w:val="24"/>
              </w:rPr>
            </w:pPr>
            <w:r>
              <w:rPr>
                <w:rFonts w:hint="eastAsia" w:ascii="宋体" w:hAnsi="宋体" w:cs="宋体"/>
                <w:b/>
                <w:bCs/>
                <w:color w:val="000000"/>
                <w:kern w:val="0"/>
                <w:sz w:val="24"/>
              </w:rPr>
              <w:t>满分</w:t>
            </w:r>
          </w:p>
        </w:tc>
      </w:tr>
      <w:tr w14:paraId="663C7DF9">
        <w:tblPrEx>
          <w:tblCellMar>
            <w:top w:w="0" w:type="dxa"/>
            <w:left w:w="108" w:type="dxa"/>
            <w:bottom w:w="0" w:type="dxa"/>
            <w:right w:w="108" w:type="dxa"/>
          </w:tblCellMar>
        </w:tblPrEx>
        <w:trPr>
          <w:trHeight w:val="317" w:hRule="atLeast"/>
        </w:trPr>
        <w:tc>
          <w:tcPr>
            <w:tcW w:w="902" w:type="dxa"/>
            <w:vMerge w:val="continue"/>
            <w:tcBorders>
              <w:top w:val="single" w:color="auto" w:sz="8" w:space="0"/>
              <w:left w:val="single" w:color="auto" w:sz="8" w:space="0"/>
              <w:bottom w:val="single" w:color="000000" w:sz="8" w:space="0"/>
              <w:right w:val="single" w:color="auto" w:sz="8" w:space="0"/>
            </w:tcBorders>
            <w:noWrap w:val="0"/>
            <w:vAlign w:val="center"/>
          </w:tcPr>
          <w:p w14:paraId="7912059C">
            <w:pPr>
              <w:widowControl/>
              <w:jc w:val="center"/>
              <w:rPr>
                <w:rFonts w:ascii="宋体" w:hAnsi="宋体" w:cs="宋体"/>
                <w:b/>
                <w:bCs/>
                <w:color w:val="000000"/>
                <w:kern w:val="0"/>
                <w:sz w:val="24"/>
              </w:rPr>
            </w:pPr>
          </w:p>
        </w:tc>
        <w:tc>
          <w:tcPr>
            <w:tcW w:w="6960" w:type="dxa"/>
            <w:gridSpan w:val="2"/>
            <w:vMerge w:val="continue"/>
            <w:tcBorders>
              <w:top w:val="single" w:color="auto" w:sz="8" w:space="0"/>
              <w:left w:val="single" w:color="auto" w:sz="8" w:space="0"/>
              <w:bottom w:val="single" w:color="000000" w:sz="8" w:space="0"/>
              <w:right w:val="single" w:color="000000" w:sz="8" w:space="0"/>
            </w:tcBorders>
            <w:noWrap w:val="0"/>
            <w:vAlign w:val="center"/>
          </w:tcPr>
          <w:p w14:paraId="7ED832E8">
            <w:pPr>
              <w:widowControl/>
              <w:jc w:val="center"/>
              <w:rPr>
                <w:rFonts w:ascii="宋体" w:hAnsi="宋体" w:cs="宋体"/>
                <w:b/>
                <w:bCs/>
                <w:color w:val="000000"/>
                <w:kern w:val="0"/>
                <w:sz w:val="24"/>
              </w:rPr>
            </w:pPr>
          </w:p>
        </w:tc>
        <w:tc>
          <w:tcPr>
            <w:tcW w:w="1297" w:type="dxa"/>
            <w:tcBorders>
              <w:top w:val="nil"/>
              <w:left w:val="nil"/>
              <w:bottom w:val="single" w:color="auto" w:sz="8" w:space="0"/>
              <w:right w:val="single" w:color="auto" w:sz="8" w:space="0"/>
            </w:tcBorders>
            <w:noWrap w:val="0"/>
            <w:vAlign w:val="center"/>
          </w:tcPr>
          <w:p w14:paraId="136F6747">
            <w:pPr>
              <w:widowControl/>
              <w:jc w:val="center"/>
              <w:rPr>
                <w:rFonts w:ascii="宋体" w:hAnsi="宋体" w:cs="宋体"/>
                <w:b/>
                <w:bCs/>
                <w:color w:val="000000"/>
                <w:kern w:val="0"/>
                <w:sz w:val="24"/>
              </w:rPr>
            </w:pPr>
            <w:r>
              <w:rPr>
                <w:rFonts w:hint="eastAsia" w:ascii="宋体" w:hAnsi="宋体" w:cs="宋体"/>
                <w:b/>
                <w:bCs/>
                <w:color w:val="000000"/>
                <w:kern w:val="0"/>
                <w:sz w:val="24"/>
              </w:rPr>
              <w:t>分值</w:t>
            </w:r>
          </w:p>
        </w:tc>
      </w:tr>
      <w:tr w14:paraId="32EEFEBC">
        <w:tblPrEx>
          <w:tblCellMar>
            <w:top w:w="0" w:type="dxa"/>
            <w:left w:w="108" w:type="dxa"/>
            <w:bottom w:w="0" w:type="dxa"/>
            <w:right w:w="108" w:type="dxa"/>
          </w:tblCellMar>
        </w:tblPrEx>
        <w:trPr>
          <w:trHeight w:val="1317" w:hRule="atLeast"/>
        </w:trPr>
        <w:tc>
          <w:tcPr>
            <w:tcW w:w="902" w:type="dxa"/>
            <w:tcBorders>
              <w:top w:val="nil"/>
              <w:left w:val="single" w:color="auto" w:sz="8" w:space="0"/>
              <w:bottom w:val="single" w:color="auto" w:sz="4" w:space="0"/>
              <w:right w:val="single" w:color="auto" w:sz="8" w:space="0"/>
            </w:tcBorders>
            <w:noWrap w:val="0"/>
            <w:vAlign w:val="center"/>
          </w:tcPr>
          <w:p w14:paraId="54D5AA1C">
            <w:pPr>
              <w:widowControl/>
              <w:jc w:val="center"/>
              <w:rPr>
                <w:rFonts w:ascii="宋体" w:hAnsi="宋体" w:cs="宋体"/>
                <w:color w:val="000000"/>
                <w:kern w:val="0"/>
                <w:sz w:val="24"/>
              </w:rPr>
            </w:pPr>
            <w:r>
              <w:rPr>
                <w:rFonts w:hint="eastAsia" w:ascii="宋体" w:hAnsi="宋体" w:cs="宋体"/>
                <w:color w:val="000000"/>
                <w:kern w:val="0"/>
                <w:sz w:val="24"/>
              </w:rPr>
              <w:t>1-1</w:t>
            </w:r>
          </w:p>
        </w:tc>
        <w:tc>
          <w:tcPr>
            <w:tcW w:w="6960" w:type="dxa"/>
            <w:gridSpan w:val="2"/>
            <w:tcBorders>
              <w:top w:val="single" w:color="auto" w:sz="8" w:space="0"/>
              <w:left w:val="nil"/>
              <w:bottom w:val="single" w:color="auto" w:sz="8" w:space="0"/>
              <w:right w:val="single" w:color="000000" w:sz="8" w:space="0"/>
            </w:tcBorders>
            <w:noWrap w:val="0"/>
            <w:vAlign w:val="center"/>
          </w:tcPr>
          <w:p w14:paraId="631A28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ascii="宋体" w:hAnsi="宋体" w:cs="宋体"/>
                <w:color w:val="000000"/>
                <w:kern w:val="0"/>
                <w:sz w:val="24"/>
              </w:rPr>
            </w:pPr>
            <w:r>
              <w:rPr>
                <w:rFonts w:hint="eastAsia" w:ascii="宋体" w:hAnsi="宋体" w:cs="宋体"/>
                <w:color w:val="000000"/>
                <w:kern w:val="0"/>
                <w:sz w:val="24"/>
              </w:rPr>
              <w:t>磋商响应供应商</w:t>
            </w: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具有质量管理体系认证证书、环境管理体系认证证书、职业健康安全</w:t>
            </w:r>
            <w:r>
              <w:rPr>
                <w:rFonts w:hint="eastAsia" w:ascii="宋体" w:hAnsi="宋体" w:eastAsia="宋体" w:cs="宋体"/>
                <w:color w:val="000000"/>
                <w:kern w:val="0"/>
                <w:sz w:val="24"/>
                <w:szCs w:val="24"/>
                <w:lang w:val="en-US" w:eastAsia="zh-CN" w:bidi="ar-SA"/>
              </w:rPr>
              <w:t>管理</w:t>
            </w: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体系</w:t>
            </w:r>
            <w:r>
              <w:rPr>
                <w:rFonts w:hint="default"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w:t>
            </w: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每提供一个</w:t>
            </w:r>
            <w:r>
              <w:rPr>
                <w:rFonts w:hint="eastAsia" w:ascii="宋体" w:hAnsi="宋体" w:cs="宋体"/>
                <w:color w:val="000000"/>
                <w:kern w:val="0"/>
                <w:sz w:val="24"/>
              </w:rPr>
              <w:t>得</w:t>
            </w:r>
            <w:r>
              <w:rPr>
                <w:rFonts w:hint="eastAsia" w:ascii="宋体" w:hAnsi="宋体" w:cs="宋体"/>
                <w:color w:val="000000"/>
                <w:kern w:val="0"/>
                <w:sz w:val="24"/>
                <w:lang w:val="en-US" w:eastAsia="zh-CN"/>
              </w:rPr>
              <w:t>2</w:t>
            </w:r>
            <w:r>
              <w:rPr>
                <w:rFonts w:hint="eastAsia" w:ascii="宋体" w:hAnsi="宋体" w:cs="宋体"/>
                <w:color w:val="000000"/>
                <w:kern w:val="0"/>
                <w:sz w:val="24"/>
              </w:rPr>
              <w:t>分；未提供得0分。</w:t>
            </w:r>
          </w:p>
        </w:tc>
        <w:tc>
          <w:tcPr>
            <w:tcW w:w="1297" w:type="dxa"/>
            <w:tcBorders>
              <w:top w:val="nil"/>
              <w:left w:val="nil"/>
              <w:bottom w:val="single" w:color="auto" w:sz="8" w:space="0"/>
              <w:right w:val="single" w:color="auto" w:sz="8" w:space="0"/>
            </w:tcBorders>
            <w:noWrap w:val="0"/>
            <w:vAlign w:val="center"/>
          </w:tcPr>
          <w:p w14:paraId="64098B00">
            <w:pPr>
              <w:widowControl/>
              <w:jc w:val="center"/>
              <w:rPr>
                <w:rFonts w:ascii="宋体" w:hAnsi="宋体" w:cs="宋体"/>
                <w:color w:val="000000"/>
                <w:kern w:val="0"/>
                <w:sz w:val="24"/>
              </w:rPr>
            </w:pPr>
            <w:r>
              <w:rPr>
                <w:rFonts w:hint="eastAsia" w:ascii="宋体" w:hAnsi="宋体" w:cs="宋体"/>
                <w:color w:val="000000"/>
                <w:kern w:val="0"/>
                <w:sz w:val="24"/>
                <w:lang w:val="en-US" w:eastAsia="zh-CN"/>
              </w:rPr>
              <w:t>6</w:t>
            </w:r>
            <w:r>
              <w:rPr>
                <w:rFonts w:hint="eastAsia" w:ascii="宋体" w:hAnsi="宋体" w:cs="宋体"/>
                <w:color w:val="000000"/>
                <w:kern w:val="0"/>
                <w:sz w:val="24"/>
              </w:rPr>
              <w:t>分</w:t>
            </w:r>
          </w:p>
        </w:tc>
      </w:tr>
      <w:tr w14:paraId="6FD3A54D">
        <w:tblPrEx>
          <w:tblCellMar>
            <w:top w:w="0" w:type="dxa"/>
            <w:left w:w="108" w:type="dxa"/>
            <w:bottom w:w="0" w:type="dxa"/>
            <w:right w:w="108" w:type="dxa"/>
          </w:tblCellMar>
        </w:tblPrEx>
        <w:trPr>
          <w:trHeight w:val="1646" w:hRule="atLeast"/>
        </w:trPr>
        <w:tc>
          <w:tcPr>
            <w:tcW w:w="902" w:type="dxa"/>
            <w:tcBorders>
              <w:top w:val="single" w:color="auto" w:sz="4" w:space="0"/>
              <w:left w:val="single" w:color="auto" w:sz="4" w:space="0"/>
              <w:bottom w:val="single" w:color="auto" w:sz="4" w:space="0"/>
              <w:right w:val="single" w:color="auto" w:sz="4" w:space="0"/>
            </w:tcBorders>
            <w:noWrap w:val="0"/>
            <w:vAlign w:val="center"/>
          </w:tcPr>
          <w:p w14:paraId="4E5174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1-2</w:t>
            </w:r>
          </w:p>
        </w:tc>
        <w:tc>
          <w:tcPr>
            <w:tcW w:w="6960" w:type="dxa"/>
            <w:gridSpan w:val="2"/>
            <w:tcBorders>
              <w:top w:val="single" w:color="auto" w:sz="8" w:space="0"/>
              <w:left w:val="single" w:color="auto" w:sz="4" w:space="0"/>
              <w:bottom w:val="single" w:color="auto" w:sz="8" w:space="0"/>
              <w:right w:val="single" w:color="000000" w:sz="8" w:space="0"/>
            </w:tcBorders>
            <w:noWrap w:val="0"/>
            <w:vAlign w:val="center"/>
          </w:tcPr>
          <w:p w14:paraId="76F506C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对磋商响应供应商通过现场踏勘提供的项目情况分析报告进行评价：对本项目的服务特点、管理难点描述详细完整、符合实际要求的为优，得</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分；描述较完整、较符合实际要求的为良，得</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分；描述较简略得</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份；</w:t>
            </w:r>
            <w:r>
              <w:rPr>
                <w:rFonts w:hint="eastAsia" w:ascii="宋体" w:hAnsi="宋体" w:cs="宋体"/>
                <w:color w:val="000000"/>
                <w:kern w:val="0"/>
                <w:sz w:val="24"/>
              </w:rPr>
              <w:t>未提供</w:t>
            </w:r>
            <w:r>
              <w:rPr>
                <w:rFonts w:hint="eastAsia" w:ascii="宋体" w:hAnsi="宋体" w:cs="宋体"/>
                <w:color w:val="000000"/>
                <w:kern w:val="0"/>
                <w:sz w:val="24"/>
                <w:lang w:val="en-US" w:eastAsia="zh-CN"/>
              </w:rPr>
              <w:t>或完全不符</w:t>
            </w:r>
            <w:r>
              <w:rPr>
                <w:rFonts w:hint="eastAsia" w:ascii="宋体" w:hAnsi="宋体" w:cs="宋体"/>
                <w:color w:val="000000"/>
                <w:kern w:val="0"/>
                <w:sz w:val="24"/>
              </w:rPr>
              <w:t>得0分。</w:t>
            </w:r>
          </w:p>
        </w:tc>
        <w:tc>
          <w:tcPr>
            <w:tcW w:w="1297" w:type="dxa"/>
            <w:tcBorders>
              <w:top w:val="nil"/>
              <w:left w:val="nil"/>
              <w:bottom w:val="single" w:color="auto" w:sz="8" w:space="0"/>
              <w:right w:val="single" w:color="auto" w:sz="8" w:space="0"/>
            </w:tcBorders>
            <w:noWrap w:val="0"/>
            <w:vAlign w:val="center"/>
          </w:tcPr>
          <w:p w14:paraId="52890E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w:t>
            </w:r>
          </w:p>
        </w:tc>
      </w:tr>
      <w:tr w14:paraId="524C50D6">
        <w:tblPrEx>
          <w:tblCellMar>
            <w:top w:w="0" w:type="dxa"/>
            <w:left w:w="108" w:type="dxa"/>
            <w:bottom w:w="0" w:type="dxa"/>
            <w:right w:w="108" w:type="dxa"/>
          </w:tblCellMar>
        </w:tblPrEx>
        <w:trPr>
          <w:trHeight w:val="1317" w:hRule="atLeast"/>
        </w:trPr>
        <w:tc>
          <w:tcPr>
            <w:tcW w:w="902" w:type="dxa"/>
            <w:tcBorders>
              <w:top w:val="single" w:color="auto" w:sz="4" w:space="0"/>
              <w:left w:val="single" w:color="auto" w:sz="8" w:space="0"/>
              <w:bottom w:val="single" w:color="auto" w:sz="8" w:space="0"/>
              <w:right w:val="single" w:color="auto" w:sz="8" w:space="0"/>
            </w:tcBorders>
            <w:noWrap w:val="0"/>
            <w:vAlign w:val="center"/>
          </w:tcPr>
          <w:p w14:paraId="32FC25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1-3</w:t>
            </w:r>
          </w:p>
        </w:tc>
        <w:tc>
          <w:tcPr>
            <w:tcW w:w="6960" w:type="dxa"/>
            <w:gridSpan w:val="2"/>
            <w:tcBorders>
              <w:top w:val="single" w:color="auto" w:sz="8" w:space="0"/>
              <w:left w:val="nil"/>
              <w:bottom w:val="single" w:color="auto" w:sz="8" w:space="0"/>
              <w:right w:val="single" w:color="000000" w:sz="8" w:space="0"/>
            </w:tcBorders>
            <w:noWrap w:val="0"/>
            <w:vAlign w:val="center"/>
          </w:tcPr>
          <w:p w14:paraId="737C714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对磋商响应供应商通过现场踏勘提供的针对现场盆栽租摆养护优化方案进行评价：优（优化方案最好）得</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分、良（优化方案较好）得</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分、一般（优化方案一般）得</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分、</w:t>
            </w:r>
            <w:r>
              <w:rPr>
                <w:rFonts w:hint="eastAsia" w:ascii="宋体" w:hAnsi="宋体" w:cs="宋体"/>
                <w:color w:val="000000"/>
                <w:kern w:val="0"/>
                <w:sz w:val="24"/>
              </w:rPr>
              <w:t>未提供</w:t>
            </w:r>
            <w:r>
              <w:rPr>
                <w:rFonts w:hint="eastAsia" w:ascii="宋体" w:hAnsi="宋体" w:cs="宋体"/>
                <w:color w:val="000000"/>
                <w:kern w:val="0"/>
                <w:sz w:val="24"/>
                <w:lang w:val="en-US" w:eastAsia="zh-CN"/>
              </w:rPr>
              <w:t>或完全不符</w:t>
            </w:r>
            <w:r>
              <w:rPr>
                <w:rFonts w:hint="eastAsia" w:ascii="宋体" w:hAnsi="宋体" w:cs="宋体"/>
                <w:color w:val="000000"/>
                <w:kern w:val="0"/>
                <w:sz w:val="24"/>
              </w:rPr>
              <w:t>得0分。</w:t>
            </w:r>
            <w:r>
              <w:rPr>
                <w:rFonts w:hint="eastAsia" w:ascii="宋体" w:hAnsi="宋体" w:eastAsia="宋体" w:cs="宋体"/>
                <w:color w:val="000000"/>
                <w:kern w:val="0"/>
                <w:sz w:val="24"/>
              </w:rPr>
              <w:t>优化方案要求结合现场情况编写。</w:t>
            </w:r>
          </w:p>
        </w:tc>
        <w:tc>
          <w:tcPr>
            <w:tcW w:w="1297" w:type="dxa"/>
            <w:tcBorders>
              <w:top w:val="nil"/>
              <w:left w:val="nil"/>
              <w:bottom w:val="single" w:color="auto" w:sz="8" w:space="0"/>
              <w:right w:val="single" w:color="auto" w:sz="8" w:space="0"/>
            </w:tcBorders>
            <w:noWrap w:val="0"/>
            <w:vAlign w:val="center"/>
          </w:tcPr>
          <w:p w14:paraId="56C0311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w:t>
            </w:r>
          </w:p>
        </w:tc>
      </w:tr>
      <w:tr w14:paraId="0CB993D9">
        <w:tblPrEx>
          <w:tblCellMar>
            <w:top w:w="0" w:type="dxa"/>
            <w:left w:w="108" w:type="dxa"/>
            <w:bottom w:w="0" w:type="dxa"/>
            <w:right w:w="108" w:type="dxa"/>
          </w:tblCellMar>
        </w:tblPrEx>
        <w:trPr>
          <w:trHeight w:val="1317" w:hRule="atLeast"/>
        </w:trPr>
        <w:tc>
          <w:tcPr>
            <w:tcW w:w="902" w:type="dxa"/>
            <w:tcBorders>
              <w:top w:val="nil"/>
              <w:left w:val="single" w:color="auto" w:sz="8" w:space="0"/>
              <w:bottom w:val="single" w:color="auto" w:sz="8" w:space="0"/>
              <w:right w:val="single" w:color="auto" w:sz="8" w:space="0"/>
            </w:tcBorders>
            <w:noWrap w:val="0"/>
            <w:vAlign w:val="center"/>
          </w:tcPr>
          <w:p w14:paraId="221D2FA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1-4</w:t>
            </w:r>
          </w:p>
        </w:tc>
        <w:tc>
          <w:tcPr>
            <w:tcW w:w="6960" w:type="dxa"/>
            <w:gridSpan w:val="2"/>
            <w:tcBorders>
              <w:top w:val="single" w:color="auto" w:sz="8" w:space="0"/>
              <w:left w:val="nil"/>
              <w:bottom w:val="single" w:color="auto" w:sz="8" w:space="0"/>
              <w:right w:val="single" w:color="000000" w:sz="8" w:space="0"/>
            </w:tcBorders>
            <w:noWrap w:val="0"/>
            <w:vAlign w:val="center"/>
          </w:tcPr>
          <w:p w14:paraId="0DEF323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根据磋商响应供应商提供的盆栽租摆养护服务技术方案（作业计划的针对性、适用性、可行性）进行评价：优（作业计划最好）得</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分、良（作业计划较好）得4分、一般（作业计划一般）得</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分、</w:t>
            </w:r>
            <w:r>
              <w:rPr>
                <w:rFonts w:hint="eastAsia" w:ascii="宋体" w:hAnsi="宋体" w:cs="宋体"/>
                <w:color w:val="000000"/>
                <w:kern w:val="0"/>
                <w:sz w:val="24"/>
              </w:rPr>
              <w:t>未提供</w:t>
            </w:r>
            <w:r>
              <w:rPr>
                <w:rFonts w:hint="eastAsia" w:ascii="宋体" w:hAnsi="宋体" w:cs="宋体"/>
                <w:color w:val="000000"/>
                <w:kern w:val="0"/>
                <w:sz w:val="24"/>
                <w:lang w:val="en-US" w:eastAsia="zh-CN"/>
              </w:rPr>
              <w:t>或完全不符</w:t>
            </w:r>
            <w:r>
              <w:rPr>
                <w:rFonts w:hint="eastAsia" w:ascii="宋体" w:hAnsi="宋体" w:cs="宋体"/>
                <w:color w:val="000000"/>
                <w:kern w:val="0"/>
                <w:sz w:val="24"/>
              </w:rPr>
              <w:t>得0分。</w:t>
            </w:r>
            <w:r>
              <w:rPr>
                <w:rFonts w:hint="eastAsia" w:ascii="宋体" w:hAnsi="宋体" w:eastAsia="宋体" w:cs="宋体"/>
                <w:color w:val="000000"/>
                <w:kern w:val="0"/>
                <w:sz w:val="24"/>
              </w:rPr>
              <w:t>方案要求结合现场情况编写。</w:t>
            </w:r>
          </w:p>
        </w:tc>
        <w:tc>
          <w:tcPr>
            <w:tcW w:w="1297" w:type="dxa"/>
            <w:tcBorders>
              <w:top w:val="nil"/>
              <w:left w:val="nil"/>
              <w:bottom w:val="single" w:color="auto" w:sz="8" w:space="0"/>
              <w:right w:val="single" w:color="auto" w:sz="8" w:space="0"/>
            </w:tcBorders>
            <w:noWrap w:val="0"/>
            <w:vAlign w:val="center"/>
          </w:tcPr>
          <w:p w14:paraId="5C09718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w:t>
            </w:r>
          </w:p>
        </w:tc>
      </w:tr>
      <w:tr w14:paraId="2577ABFB">
        <w:tblPrEx>
          <w:tblCellMar>
            <w:top w:w="0" w:type="dxa"/>
            <w:left w:w="108" w:type="dxa"/>
            <w:bottom w:w="0" w:type="dxa"/>
            <w:right w:w="108" w:type="dxa"/>
          </w:tblCellMar>
        </w:tblPrEx>
        <w:trPr>
          <w:trHeight w:val="662" w:hRule="atLeast"/>
        </w:trPr>
        <w:tc>
          <w:tcPr>
            <w:tcW w:w="902" w:type="dxa"/>
            <w:tcBorders>
              <w:top w:val="nil"/>
              <w:left w:val="single" w:color="auto" w:sz="8" w:space="0"/>
              <w:bottom w:val="single" w:color="auto" w:sz="8" w:space="0"/>
              <w:right w:val="single" w:color="auto" w:sz="8" w:space="0"/>
            </w:tcBorders>
            <w:noWrap w:val="0"/>
            <w:vAlign w:val="center"/>
          </w:tcPr>
          <w:p w14:paraId="200B048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1-5</w:t>
            </w:r>
          </w:p>
        </w:tc>
        <w:tc>
          <w:tcPr>
            <w:tcW w:w="6960" w:type="dxa"/>
            <w:gridSpan w:val="2"/>
            <w:tcBorders>
              <w:top w:val="single" w:color="auto" w:sz="8" w:space="0"/>
              <w:left w:val="nil"/>
              <w:bottom w:val="single" w:color="auto" w:sz="8" w:space="0"/>
              <w:right w:val="single" w:color="000000" w:sz="8" w:space="0"/>
            </w:tcBorders>
            <w:noWrap w:val="0"/>
            <w:vAlign w:val="center"/>
          </w:tcPr>
          <w:p w14:paraId="1BD76B2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根据磋商响应供应商提供的盆栽租摆养护服务技术方案（保障措施的针对性、适用性、可行性）进行评价：优（保障措施最好）得</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分、良（保障措施较好）得4分、一般（保障措施一般）得</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分、</w:t>
            </w:r>
            <w:r>
              <w:rPr>
                <w:rFonts w:hint="eastAsia" w:ascii="宋体" w:hAnsi="宋体" w:cs="宋体"/>
                <w:color w:val="000000"/>
                <w:kern w:val="0"/>
                <w:sz w:val="24"/>
              </w:rPr>
              <w:t>未提供</w:t>
            </w:r>
            <w:r>
              <w:rPr>
                <w:rFonts w:hint="eastAsia" w:ascii="宋体" w:hAnsi="宋体" w:cs="宋体"/>
                <w:color w:val="000000"/>
                <w:kern w:val="0"/>
                <w:sz w:val="24"/>
                <w:lang w:val="en-US" w:eastAsia="zh-CN"/>
              </w:rPr>
              <w:t>或完全不符</w:t>
            </w:r>
            <w:r>
              <w:rPr>
                <w:rFonts w:hint="eastAsia" w:ascii="宋体" w:hAnsi="宋体" w:cs="宋体"/>
                <w:color w:val="000000"/>
                <w:kern w:val="0"/>
                <w:sz w:val="24"/>
              </w:rPr>
              <w:t>得0分。</w:t>
            </w:r>
            <w:r>
              <w:rPr>
                <w:rFonts w:hint="eastAsia" w:ascii="宋体" w:hAnsi="宋体" w:eastAsia="宋体" w:cs="宋体"/>
                <w:color w:val="000000"/>
                <w:kern w:val="0"/>
                <w:sz w:val="24"/>
              </w:rPr>
              <w:t>方案要求结合现场情况编写。</w:t>
            </w:r>
          </w:p>
        </w:tc>
        <w:tc>
          <w:tcPr>
            <w:tcW w:w="1297" w:type="dxa"/>
            <w:tcBorders>
              <w:top w:val="nil"/>
              <w:left w:val="nil"/>
              <w:bottom w:val="single" w:color="auto" w:sz="8" w:space="0"/>
              <w:right w:val="single" w:color="auto" w:sz="8" w:space="0"/>
            </w:tcBorders>
            <w:noWrap w:val="0"/>
            <w:vAlign w:val="center"/>
          </w:tcPr>
          <w:p w14:paraId="4F3BA01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w:t>
            </w:r>
          </w:p>
        </w:tc>
      </w:tr>
      <w:tr w14:paraId="30E10659">
        <w:tblPrEx>
          <w:tblCellMar>
            <w:top w:w="0" w:type="dxa"/>
            <w:left w:w="108" w:type="dxa"/>
            <w:bottom w:w="0" w:type="dxa"/>
            <w:right w:w="108" w:type="dxa"/>
          </w:tblCellMar>
        </w:tblPrEx>
        <w:trPr>
          <w:trHeight w:val="1317" w:hRule="atLeast"/>
        </w:trPr>
        <w:tc>
          <w:tcPr>
            <w:tcW w:w="902" w:type="dxa"/>
            <w:tcBorders>
              <w:top w:val="nil"/>
              <w:left w:val="single" w:color="auto" w:sz="8" w:space="0"/>
              <w:bottom w:val="single" w:color="auto" w:sz="8" w:space="0"/>
              <w:right w:val="single" w:color="auto" w:sz="8" w:space="0"/>
            </w:tcBorders>
            <w:noWrap w:val="0"/>
            <w:vAlign w:val="center"/>
          </w:tcPr>
          <w:p w14:paraId="0118BAC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1-6</w:t>
            </w:r>
          </w:p>
        </w:tc>
        <w:tc>
          <w:tcPr>
            <w:tcW w:w="6960" w:type="dxa"/>
            <w:gridSpan w:val="2"/>
            <w:tcBorders>
              <w:top w:val="single" w:color="auto" w:sz="8" w:space="0"/>
              <w:left w:val="nil"/>
              <w:bottom w:val="single" w:color="auto" w:sz="8" w:space="0"/>
              <w:right w:val="single" w:color="000000" w:sz="8" w:space="0"/>
            </w:tcBorders>
            <w:noWrap w:val="0"/>
            <w:vAlign w:val="center"/>
          </w:tcPr>
          <w:p w14:paraId="1E79B1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根据磋商响应供应商提供的盆栽租摆养护服务技术方案（管理计划的针对性、适用性、可行性）进行评价：优（管理计划最好）得</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分、良（管理计划较好）得4分、一般（管理计划一般）得</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分、</w:t>
            </w:r>
            <w:r>
              <w:rPr>
                <w:rFonts w:hint="eastAsia" w:ascii="宋体" w:hAnsi="宋体" w:cs="宋体"/>
                <w:color w:val="000000"/>
                <w:kern w:val="0"/>
                <w:sz w:val="24"/>
              </w:rPr>
              <w:t>未提供</w:t>
            </w:r>
            <w:r>
              <w:rPr>
                <w:rFonts w:hint="eastAsia" w:ascii="宋体" w:hAnsi="宋体" w:cs="宋体"/>
                <w:color w:val="000000"/>
                <w:kern w:val="0"/>
                <w:sz w:val="24"/>
                <w:lang w:val="en-US" w:eastAsia="zh-CN"/>
              </w:rPr>
              <w:t>或完全不符</w:t>
            </w:r>
            <w:r>
              <w:rPr>
                <w:rFonts w:hint="eastAsia" w:ascii="宋体" w:hAnsi="宋体" w:cs="宋体"/>
                <w:color w:val="000000"/>
                <w:kern w:val="0"/>
                <w:sz w:val="24"/>
              </w:rPr>
              <w:t>得0分。</w:t>
            </w:r>
            <w:r>
              <w:rPr>
                <w:rFonts w:hint="eastAsia" w:ascii="宋体" w:hAnsi="宋体" w:eastAsia="宋体" w:cs="宋体"/>
                <w:color w:val="000000"/>
                <w:kern w:val="0"/>
                <w:sz w:val="24"/>
              </w:rPr>
              <w:t>方案要求结合现场情况编写。</w:t>
            </w:r>
          </w:p>
        </w:tc>
        <w:tc>
          <w:tcPr>
            <w:tcW w:w="1297" w:type="dxa"/>
            <w:tcBorders>
              <w:top w:val="nil"/>
              <w:left w:val="nil"/>
              <w:bottom w:val="single" w:color="auto" w:sz="8" w:space="0"/>
              <w:right w:val="single" w:color="auto" w:sz="8" w:space="0"/>
            </w:tcBorders>
            <w:noWrap w:val="0"/>
            <w:vAlign w:val="center"/>
          </w:tcPr>
          <w:p w14:paraId="23EA076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w:t>
            </w:r>
          </w:p>
        </w:tc>
      </w:tr>
      <w:tr w14:paraId="00A324E9">
        <w:tblPrEx>
          <w:tblCellMar>
            <w:top w:w="0" w:type="dxa"/>
            <w:left w:w="108" w:type="dxa"/>
            <w:bottom w:w="0" w:type="dxa"/>
            <w:right w:w="108" w:type="dxa"/>
          </w:tblCellMar>
        </w:tblPrEx>
        <w:trPr>
          <w:trHeight w:val="1317" w:hRule="atLeast"/>
        </w:trPr>
        <w:tc>
          <w:tcPr>
            <w:tcW w:w="902" w:type="dxa"/>
            <w:tcBorders>
              <w:top w:val="nil"/>
              <w:left w:val="single" w:color="auto" w:sz="8" w:space="0"/>
              <w:bottom w:val="single" w:color="auto" w:sz="8" w:space="0"/>
              <w:right w:val="single" w:color="auto" w:sz="8" w:space="0"/>
            </w:tcBorders>
            <w:noWrap w:val="0"/>
            <w:vAlign w:val="center"/>
          </w:tcPr>
          <w:p w14:paraId="7776B1F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1-7</w:t>
            </w:r>
          </w:p>
        </w:tc>
        <w:tc>
          <w:tcPr>
            <w:tcW w:w="6960" w:type="dxa"/>
            <w:gridSpan w:val="2"/>
            <w:tcBorders>
              <w:top w:val="single" w:color="auto" w:sz="8" w:space="0"/>
              <w:left w:val="nil"/>
              <w:bottom w:val="single" w:color="auto" w:sz="8" w:space="0"/>
              <w:right w:val="single" w:color="000000" w:sz="8" w:space="0"/>
            </w:tcBorders>
            <w:noWrap w:val="0"/>
            <w:vAlign w:val="center"/>
          </w:tcPr>
          <w:p w14:paraId="6B11556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根据磋商响应供应商提供的盆栽租摆养护服务技术方案（安全文明养护措施的针对性、适用性、可行性）进行评价：优（措施最好）得</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分、良（措施较好）得4分、一般（措施一般）得</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分、</w:t>
            </w:r>
            <w:r>
              <w:rPr>
                <w:rFonts w:hint="eastAsia" w:ascii="宋体" w:hAnsi="宋体" w:cs="宋体"/>
                <w:color w:val="000000"/>
                <w:kern w:val="0"/>
                <w:sz w:val="24"/>
              </w:rPr>
              <w:t>未提供</w:t>
            </w:r>
            <w:r>
              <w:rPr>
                <w:rFonts w:hint="eastAsia" w:ascii="宋体" w:hAnsi="宋体" w:cs="宋体"/>
                <w:color w:val="000000"/>
                <w:kern w:val="0"/>
                <w:sz w:val="24"/>
                <w:lang w:val="en-US" w:eastAsia="zh-CN"/>
              </w:rPr>
              <w:t>或完全不符</w:t>
            </w:r>
            <w:r>
              <w:rPr>
                <w:rFonts w:hint="eastAsia" w:ascii="宋体" w:hAnsi="宋体" w:cs="宋体"/>
                <w:color w:val="000000"/>
                <w:kern w:val="0"/>
                <w:sz w:val="24"/>
              </w:rPr>
              <w:t>得0分。</w:t>
            </w:r>
            <w:r>
              <w:rPr>
                <w:rFonts w:hint="eastAsia" w:ascii="宋体" w:hAnsi="宋体" w:eastAsia="宋体" w:cs="宋体"/>
                <w:color w:val="000000"/>
                <w:kern w:val="0"/>
                <w:sz w:val="24"/>
              </w:rPr>
              <w:t>方案要求结合现场情况编写。</w:t>
            </w:r>
          </w:p>
        </w:tc>
        <w:tc>
          <w:tcPr>
            <w:tcW w:w="1297" w:type="dxa"/>
            <w:tcBorders>
              <w:top w:val="nil"/>
              <w:left w:val="nil"/>
              <w:bottom w:val="single" w:color="auto" w:sz="8" w:space="0"/>
              <w:right w:val="single" w:color="auto" w:sz="8" w:space="0"/>
            </w:tcBorders>
            <w:noWrap w:val="0"/>
            <w:vAlign w:val="center"/>
          </w:tcPr>
          <w:p w14:paraId="4143FE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w:t>
            </w:r>
          </w:p>
        </w:tc>
      </w:tr>
      <w:tr w14:paraId="1DE70346">
        <w:tblPrEx>
          <w:tblCellMar>
            <w:top w:w="0" w:type="dxa"/>
            <w:left w:w="108" w:type="dxa"/>
            <w:bottom w:w="0" w:type="dxa"/>
            <w:right w:w="108" w:type="dxa"/>
          </w:tblCellMar>
        </w:tblPrEx>
        <w:trPr>
          <w:trHeight w:val="1317" w:hRule="atLeast"/>
        </w:trPr>
        <w:tc>
          <w:tcPr>
            <w:tcW w:w="902" w:type="dxa"/>
            <w:tcBorders>
              <w:top w:val="nil"/>
              <w:left w:val="single" w:color="auto" w:sz="8" w:space="0"/>
              <w:bottom w:val="single" w:color="auto" w:sz="8" w:space="0"/>
              <w:right w:val="single" w:color="auto" w:sz="8" w:space="0"/>
            </w:tcBorders>
            <w:noWrap w:val="0"/>
            <w:vAlign w:val="center"/>
          </w:tcPr>
          <w:p w14:paraId="217C68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1-8</w:t>
            </w:r>
          </w:p>
        </w:tc>
        <w:tc>
          <w:tcPr>
            <w:tcW w:w="6960" w:type="dxa"/>
            <w:gridSpan w:val="2"/>
            <w:tcBorders>
              <w:top w:val="single" w:color="auto" w:sz="8" w:space="0"/>
              <w:left w:val="nil"/>
              <w:bottom w:val="single" w:color="auto" w:sz="8" w:space="0"/>
              <w:right w:val="single" w:color="000000" w:sz="8" w:space="0"/>
            </w:tcBorders>
            <w:noWrap w:val="0"/>
            <w:vAlign w:val="center"/>
          </w:tcPr>
          <w:p w14:paraId="69A8ABD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根据磋商响应供应商提供的盆栽租摆养护服务技术方案（拟配置的设备情况说明）进行评价：拟配置的设备及数量较齐全且超出日常和特殊情况需要为优，得</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分；拟配置的设备及数量内容基本满足采购人要求为良，得</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分；拟配置的设备及数量内容</w:t>
            </w:r>
            <w:r>
              <w:rPr>
                <w:rFonts w:hint="eastAsia" w:ascii="宋体" w:hAnsi="宋体" w:eastAsia="宋体" w:cs="宋体"/>
                <w:color w:val="000000"/>
                <w:kern w:val="0"/>
                <w:sz w:val="24"/>
                <w:lang w:val="en-US" w:eastAsia="zh-CN"/>
              </w:rPr>
              <w:t>存在不足</w:t>
            </w:r>
            <w:r>
              <w:rPr>
                <w:rFonts w:hint="eastAsia" w:ascii="宋体" w:hAnsi="宋体" w:eastAsia="宋体" w:cs="宋体"/>
                <w:color w:val="000000"/>
                <w:kern w:val="0"/>
                <w:sz w:val="24"/>
              </w:rPr>
              <w:t>为</w:t>
            </w:r>
            <w:r>
              <w:rPr>
                <w:rFonts w:hint="eastAsia" w:ascii="宋体" w:hAnsi="宋体" w:eastAsia="宋体" w:cs="宋体"/>
                <w:color w:val="000000"/>
                <w:kern w:val="0"/>
                <w:sz w:val="24"/>
                <w:lang w:val="en-US" w:eastAsia="zh-CN"/>
              </w:rPr>
              <w:t>一般，</w:t>
            </w:r>
            <w:r>
              <w:rPr>
                <w:rFonts w:hint="eastAsia" w:ascii="宋体" w:hAnsi="宋体" w:eastAsia="宋体" w:cs="宋体"/>
                <w:color w:val="000000"/>
                <w:kern w:val="0"/>
                <w:sz w:val="24"/>
              </w:rPr>
              <w:t>得2分</w:t>
            </w:r>
            <w:r>
              <w:rPr>
                <w:rFonts w:hint="eastAsia" w:ascii="宋体" w:hAnsi="宋体" w:eastAsia="宋体" w:cs="宋体"/>
                <w:color w:val="000000"/>
                <w:kern w:val="0"/>
                <w:sz w:val="24"/>
                <w:lang w:eastAsia="zh-CN"/>
              </w:rPr>
              <w:t>、</w:t>
            </w:r>
            <w:r>
              <w:rPr>
                <w:rFonts w:hint="eastAsia" w:ascii="宋体" w:hAnsi="宋体" w:cs="宋体"/>
                <w:color w:val="000000"/>
                <w:kern w:val="0"/>
                <w:sz w:val="24"/>
              </w:rPr>
              <w:t>未提供</w:t>
            </w:r>
            <w:r>
              <w:rPr>
                <w:rFonts w:hint="eastAsia" w:ascii="宋体" w:hAnsi="宋体" w:cs="宋体"/>
                <w:color w:val="000000"/>
                <w:kern w:val="0"/>
                <w:sz w:val="24"/>
                <w:lang w:val="en-US" w:eastAsia="zh-CN"/>
              </w:rPr>
              <w:t>或完全不符</w:t>
            </w:r>
            <w:r>
              <w:rPr>
                <w:rFonts w:hint="eastAsia" w:ascii="宋体" w:hAnsi="宋体" w:cs="宋体"/>
                <w:color w:val="000000"/>
                <w:kern w:val="0"/>
                <w:sz w:val="24"/>
              </w:rPr>
              <w:t>得0分。</w:t>
            </w:r>
          </w:p>
        </w:tc>
        <w:tc>
          <w:tcPr>
            <w:tcW w:w="1297" w:type="dxa"/>
            <w:tcBorders>
              <w:top w:val="nil"/>
              <w:left w:val="nil"/>
              <w:bottom w:val="single" w:color="auto" w:sz="8" w:space="0"/>
              <w:right w:val="single" w:color="auto" w:sz="8" w:space="0"/>
            </w:tcBorders>
            <w:noWrap w:val="0"/>
            <w:vAlign w:val="center"/>
          </w:tcPr>
          <w:p w14:paraId="709CFD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w:t>
            </w:r>
          </w:p>
        </w:tc>
      </w:tr>
      <w:tr w14:paraId="7A3DA048">
        <w:tblPrEx>
          <w:tblCellMar>
            <w:top w:w="0" w:type="dxa"/>
            <w:left w:w="108" w:type="dxa"/>
            <w:bottom w:w="0" w:type="dxa"/>
            <w:right w:w="108" w:type="dxa"/>
          </w:tblCellMar>
        </w:tblPrEx>
        <w:trPr>
          <w:trHeight w:val="1787" w:hRule="atLeast"/>
        </w:trPr>
        <w:tc>
          <w:tcPr>
            <w:tcW w:w="902" w:type="dxa"/>
            <w:tcBorders>
              <w:top w:val="nil"/>
              <w:left w:val="single" w:color="auto" w:sz="8" w:space="0"/>
              <w:bottom w:val="single" w:color="auto" w:sz="8" w:space="0"/>
              <w:right w:val="single" w:color="auto" w:sz="8" w:space="0"/>
            </w:tcBorders>
            <w:noWrap w:val="0"/>
            <w:vAlign w:val="center"/>
          </w:tcPr>
          <w:p w14:paraId="3E234C7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1-9</w:t>
            </w:r>
          </w:p>
        </w:tc>
        <w:tc>
          <w:tcPr>
            <w:tcW w:w="6960" w:type="dxa"/>
            <w:gridSpan w:val="2"/>
            <w:tcBorders>
              <w:top w:val="single" w:color="auto" w:sz="8" w:space="0"/>
              <w:left w:val="nil"/>
              <w:bottom w:val="single" w:color="auto" w:sz="8" w:space="0"/>
              <w:right w:val="single" w:color="000000" w:sz="8" w:space="0"/>
            </w:tcBorders>
            <w:noWrap w:val="0"/>
            <w:vAlign w:val="center"/>
          </w:tcPr>
          <w:p w14:paraId="44C5C28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根据磋商响应供应商提供的盆栽租摆养护应急方案（重要或大型活动、防洪防台、节假日、考评等期间出现量大或紧急维修类较多的情况采取的质量应对措施及工作安排）进行评价：优（应急方案最好得</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分）、良（应急方案划较好得</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分）、一般（应急方案一般得</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分）、</w:t>
            </w:r>
            <w:r>
              <w:rPr>
                <w:rFonts w:hint="eastAsia" w:ascii="宋体" w:hAnsi="宋体" w:cs="宋体"/>
                <w:color w:val="000000"/>
                <w:kern w:val="0"/>
                <w:sz w:val="24"/>
              </w:rPr>
              <w:t>未提供</w:t>
            </w:r>
            <w:r>
              <w:rPr>
                <w:rFonts w:hint="eastAsia" w:ascii="宋体" w:hAnsi="宋体" w:cs="宋体"/>
                <w:color w:val="000000"/>
                <w:kern w:val="0"/>
                <w:sz w:val="24"/>
                <w:lang w:val="en-US" w:eastAsia="zh-CN"/>
              </w:rPr>
              <w:t>或完全不符</w:t>
            </w:r>
            <w:r>
              <w:rPr>
                <w:rFonts w:hint="eastAsia" w:ascii="宋体" w:hAnsi="宋体" w:cs="宋体"/>
                <w:color w:val="000000"/>
                <w:kern w:val="0"/>
                <w:sz w:val="24"/>
              </w:rPr>
              <w:t>得0分。</w:t>
            </w:r>
            <w:r>
              <w:rPr>
                <w:rFonts w:hint="eastAsia" w:ascii="宋体" w:hAnsi="宋体" w:eastAsia="宋体" w:cs="宋体"/>
                <w:color w:val="000000"/>
                <w:kern w:val="0"/>
                <w:sz w:val="24"/>
              </w:rPr>
              <w:t>方案要求结合现场情况编写。</w:t>
            </w:r>
          </w:p>
        </w:tc>
        <w:tc>
          <w:tcPr>
            <w:tcW w:w="1297" w:type="dxa"/>
            <w:tcBorders>
              <w:top w:val="nil"/>
              <w:left w:val="nil"/>
              <w:bottom w:val="single" w:color="auto" w:sz="8" w:space="0"/>
              <w:right w:val="single" w:color="auto" w:sz="8" w:space="0"/>
            </w:tcBorders>
            <w:noWrap w:val="0"/>
            <w:vAlign w:val="center"/>
          </w:tcPr>
          <w:p w14:paraId="582EE8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分</w:t>
            </w:r>
          </w:p>
        </w:tc>
      </w:tr>
      <w:tr w14:paraId="5B439514">
        <w:tblPrEx>
          <w:tblCellMar>
            <w:top w:w="0" w:type="dxa"/>
            <w:left w:w="108" w:type="dxa"/>
            <w:bottom w:w="0" w:type="dxa"/>
            <w:right w:w="108" w:type="dxa"/>
          </w:tblCellMar>
        </w:tblPrEx>
        <w:trPr>
          <w:trHeight w:val="1599" w:hRule="atLeast"/>
        </w:trPr>
        <w:tc>
          <w:tcPr>
            <w:tcW w:w="902" w:type="dxa"/>
            <w:tcBorders>
              <w:top w:val="nil"/>
              <w:left w:val="single" w:color="auto" w:sz="8" w:space="0"/>
              <w:bottom w:val="single" w:color="auto" w:sz="4" w:space="0"/>
              <w:right w:val="single" w:color="auto" w:sz="8" w:space="0"/>
            </w:tcBorders>
            <w:noWrap w:val="0"/>
            <w:vAlign w:val="center"/>
          </w:tcPr>
          <w:p w14:paraId="2B4765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1-10</w:t>
            </w:r>
          </w:p>
        </w:tc>
        <w:tc>
          <w:tcPr>
            <w:tcW w:w="6960" w:type="dxa"/>
            <w:gridSpan w:val="2"/>
            <w:tcBorders>
              <w:top w:val="single" w:color="auto" w:sz="8" w:space="0"/>
              <w:left w:val="nil"/>
              <w:bottom w:val="single" w:color="auto" w:sz="4" w:space="0"/>
              <w:right w:val="single" w:color="000000" w:sz="8" w:space="0"/>
            </w:tcBorders>
            <w:noWrap w:val="0"/>
            <w:vAlign w:val="center"/>
          </w:tcPr>
          <w:p w14:paraId="45C94B8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根据各磋商响应供应商提供的病虫害防治方案及防治月历进行评价：方案内容齐全、表述准确、条理清晰、工作安排合理为优，得10分；方案较完整、较可行、工作安排较合理为良，得7分；其余得3分。</w:t>
            </w:r>
          </w:p>
        </w:tc>
        <w:tc>
          <w:tcPr>
            <w:tcW w:w="1297" w:type="dxa"/>
            <w:tcBorders>
              <w:top w:val="nil"/>
              <w:left w:val="nil"/>
              <w:bottom w:val="single" w:color="auto" w:sz="4" w:space="0"/>
              <w:right w:val="single" w:color="auto" w:sz="8" w:space="0"/>
            </w:tcBorders>
            <w:noWrap w:val="0"/>
            <w:vAlign w:val="center"/>
          </w:tcPr>
          <w:p w14:paraId="5835D1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10分</w:t>
            </w:r>
          </w:p>
        </w:tc>
      </w:tr>
      <w:tr w14:paraId="7E5AC8A5">
        <w:tblPrEx>
          <w:tblCellMar>
            <w:top w:w="0" w:type="dxa"/>
            <w:left w:w="108" w:type="dxa"/>
            <w:bottom w:w="0" w:type="dxa"/>
            <w:right w:w="108" w:type="dxa"/>
          </w:tblCellMar>
        </w:tblPrEx>
        <w:trPr>
          <w:trHeight w:val="734" w:hRule="atLeast"/>
        </w:trPr>
        <w:tc>
          <w:tcPr>
            <w:tcW w:w="902" w:type="dxa"/>
            <w:tcBorders>
              <w:top w:val="single" w:color="auto" w:sz="4" w:space="0"/>
              <w:left w:val="single" w:color="auto" w:sz="4" w:space="0"/>
              <w:bottom w:val="single" w:color="auto" w:sz="4" w:space="0"/>
              <w:right w:val="single" w:color="auto" w:sz="4" w:space="0"/>
            </w:tcBorders>
            <w:noWrap w:val="0"/>
            <w:vAlign w:val="center"/>
          </w:tcPr>
          <w:p w14:paraId="58471A2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1-11</w:t>
            </w:r>
          </w:p>
        </w:tc>
        <w:tc>
          <w:tcPr>
            <w:tcW w:w="3103" w:type="dxa"/>
            <w:tcBorders>
              <w:top w:val="single" w:color="auto" w:sz="4" w:space="0"/>
              <w:left w:val="single" w:color="auto" w:sz="4" w:space="0"/>
              <w:bottom w:val="single" w:color="auto" w:sz="4" w:space="0"/>
              <w:right w:val="single" w:color="auto" w:sz="4" w:space="0"/>
            </w:tcBorders>
            <w:noWrap w:val="0"/>
            <w:vAlign w:val="center"/>
          </w:tcPr>
          <w:p w14:paraId="1104A7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项目组人员配置情况：需为磋商响应供应商本单位职工，须提供技术人员的相关证书、由社保机构出具截止当月前连续6个月磋商响应供应商为其缴纳的社保证明材料，证明材料未提供或证明材料不全的不得分）。所有岗位不得兼任</w:t>
            </w:r>
          </w:p>
        </w:tc>
        <w:tc>
          <w:tcPr>
            <w:tcW w:w="3857" w:type="dxa"/>
            <w:tcBorders>
              <w:top w:val="single" w:color="auto" w:sz="4" w:space="0"/>
              <w:left w:val="single" w:color="auto" w:sz="4" w:space="0"/>
              <w:bottom w:val="single" w:color="auto" w:sz="4" w:space="0"/>
              <w:right w:val="single" w:color="auto" w:sz="4" w:space="0"/>
            </w:tcBorders>
            <w:noWrap w:val="0"/>
            <w:vAlign w:val="center"/>
          </w:tcPr>
          <w:p w14:paraId="59F256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磋商响应供应商拟投入该项目的养护技术人员素质及配备情况进行评价：具有初中以上学历的≥3人的得</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分；具有花卉园艺师专业技术工≥5人的得2分。</w:t>
            </w:r>
          </w:p>
        </w:tc>
        <w:tc>
          <w:tcPr>
            <w:tcW w:w="1297" w:type="dxa"/>
            <w:tcBorders>
              <w:top w:val="single" w:color="auto" w:sz="4" w:space="0"/>
              <w:left w:val="single" w:color="auto" w:sz="4" w:space="0"/>
              <w:bottom w:val="single" w:color="auto" w:sz="4" w:space="0"/>
              <w:right w:val="single" w:color="auto" w:sz="4" w:space="0"/>
            </w:tcBorders>
            <w:noWrap w:val="0"/>
            <w:vAlign w:val="center"/>
          </w:tcPr>
          <w:p w14:paraId="2B693E3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分</w:t>
            </w:r>
          </w:p>
        </w:tc>
      </w:tr>
      <w:tr w14:paraId="7AA1EF91">
        <w:tblPrEx>
          <w:tblCellMar>
            <w:top w:w="0" w:type="dxa"/>
            <w:left w:w="108" w:type="dxa"/>
            <w:bottom w:w="0" w:type="dxa"/>
            <w:right w:w="108" w:type="dxa"/>
          </w:tblCellMar>
        </w:tblPrEx>
        <w:trPr>
          <w:trHeight w:val="1448" w:hRule="atLeast"/>
        </w:trPr>
        <w:tc>
          <w:tcPr>
            <w:tcW w:w="902" w:type="dxa"/>
            <w:tcBorders>
              <w:top w:val="single" w:color="auto" w:sz="4" w:space="0"/>
              <w:left w:val="single" w:color="auto" w:sz="4" w:space="0"/>
              <w:bottom w:val="single" w:color="auto" w:sz="4" w:space="0"/>
              <w:right w:val="single" w:color="auto" w:sz="4" w:space="0"/>
            </w:tcBorders>
            <w:noWrap w:val="0"/>
            <w:vAlign w:val="center"/>
          </w:tcPr>
          <w:p w14:paraId="1C6FD0D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1-12</w:t>
            </w:r>
          </w:p>
        </w:tc>
        <w:tc>
          <w:tcPr>
            <w:tcW w:w="6960" w:type="dxa"/>
            <w:gridSpan w:val="2"/>
            <w:tcBorders>
              <w:top w:val="single" w:color="auto" w:sz="4" w:space="0"/>
              <w:left w:val="single" w:color="auto" w:sz="4" w:space="0"/>
              <w:bottom w:val="single" w:color="auto" w:sz="4" w:space="0"/>
              <w:right w:val="single" w:color="auto" w:sz="4" w:space="0"/>
            </w:tcBorders>
            <w:noWrap w:val="0"/>
            <w:vAlign w:val="center"/>
          </w:tcPr>
          <w:p w14:paraId="4E99D6D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宋体" w:hAnsi="宋体" w:eastAsia="宋体" w:cs="宋体"/>
                <w:color w:val="000000"/>
                <w:kern w:val="0"/>
                <w:sz w:val="24"/>
              </w:rPr>
            </w:pPr>
            <w:r>
              <w:rPr>
                <w:rFonts w:hint="eastAsia" w:ascii="宋体" w:hAnsi="宋体" w:eastAsia="宋体" w:cs="宋体"/>
                <w:color w:val="000000"/>
                <w:kern w:val="0"/>
                <w:sz w:val="24"/>
              </w:rPr>
              <w:t>根据各磋商响应供应商提供</w:t>
            </w:r>
            <w:r>
              <w:rPr>
                <w:rFonts w:hint="eastAsia" w:ascii="宋体" w:hAnsi="宋体" w:eastAsia="宋体" w:cs="宋体"/>
                <w:bCs w:val="0"/>
                <w:spacing w:val="0"/>
                <w:kern w:val="2"/>
                <w:sz w:val="24"/>
                <w:szCs w:val="24"/>
                <w:lang w:val="en-US" w:eastAsia="zh-CN" w:bidi="ar-SA"/>
              </w:rPr>
              <w:t>2023年以来签订的绿植租摆类合同案例（以签订日期为准）。每个案例得</w:t>
            </w:r>
            <w:r>
              <w:rPr>
                <w:rFonts w:hint="eastAsia" w:ascii="宋体" w:hAnsi="宋体" w:cs="宋体"/>
                <w:bCs w:val="0"/>
                <w:spacing w:val="0"/>
                <w:kern w:val="2"/>
                <w:sz w:val="24"/>
                <w:szCs w:val="24"/>
                <w:lang w:val="en-US" w:eastAsia="zh-CN" w:bidi="ar-SA"/>
              </w:rPr>
              <w:t>2</w:t>
            </w:r>
            <w:r>
              <w:rPr>
                <w:rFonts w:hint="eastAsia" w:ascii="宋体" w:hAnsi="宋体" w:eastAsia="宋体" w:cs="宋体"/>
                <w:bCs w:val="0"/>
                <w:spacing w:val="0"/>
                <w:kern w:val="2"/>
                <w:sz w:val="24"/>
                <w:szCs w:val="24"/>
                <w:lang w:val="en-US" w:eastAsia="zh-CN" w:bidi="ar-SA"/>
              </w:rPr>
              <w:t>分，最多得</w:t>
            </w:r>
            <w:r>
              <w:rPr>
                <w:rFonts w:hint="eastAsia" w:ascii="宋体" w:hAnsi="宋体" w:cs="宋体"/>
                <w:bCs w:val="0"/>
                <w:spacing w:val="0"/>
                <w:kern w:val="2"/>
                <w:sz w:val="24"/>
                <w:szCs w:val="24"/>
                <w:lang w:val="en-US" w:eastAsia="zh-CN" w:bidi="ar-SA"/>
              </w:rPr>
              <w:t>6</w:t>
            </w:r>
            <w:r>
              <w:rPr>
                <w:rFonts w:hint="eastAsia" w:ascii="宋体" w:hAnsi="宋体" w:eastAsia="宋体" w:cs="宋体"/>
                <w:bCs w:val="0"/>
                <w:spacing w:val="0"/>
                <w:kern w:val="2"/>
                <w:sz w:val="24"/>
                <w:szCs w:val="24"/>
                <w:lang w:val="en-US" w:eastAsia="zh-CN" w:bidi="ar-SA"/>
              </w:rPr>
              <w:t>分。</w:t>
            </w:r>
          </w:p>
        </w:tc>
        <w:tc>
          <w:tcPr>
            <w:tcW w:w="1297" w:type="dxa"/>
            <w:tcBorders>
              <w:top w:val="single" w:color="auto" w:sz="4" w:space="0"/>
              <w:left w:val="single" w:color="auto" w:sz="4" w:space="0"/>
              <w:bottom w:val="single" w:color="auto" w:sz="4" w:space="0"/>
              <w:right w:val="single" w:color="auto" w:sz="4" w:space="0"/>
            </w:tcBorders>
            <w:noWrap w:val="0"/>
            <w:vAlign w:val="center"/>
          </w:tcPr>
          <w:p w14:paraId="69F1C2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baseline"/>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r>
      <w:tr w14:paraId="520A1B36">
        <w:tblPrEx>
          <w:tblCellMar>
            <w:top w:w="0" w:type="dxa"/>
            <w:left w:w="108" w:type="dxa"/>
            <w:bottom w:w="0" w:type="dxa"/>
            <w:right w:w="108" w:type="dxa"/>
          </w:tblCellMar>
        </w:tblPrEx>
        <w:trPr>
          <w:trHeight w:val="1329" w:hRule="atLeast"/>
        </w:trPr>
        <w:tc>
          <w:tcPr>
            <w:tcW w:w="902" w:type="dxa"/>
            <w:tcBorders>
              <w:top w:val="single" w:color="auto" w:sz="4" w:space="0"/>
              <w:left w:val="single" w:color="auto" w:sz="4" w:space="0"/>
              <w:bottom w:val="single" w:color="auto" w:sz="4" w:space="0"/>
              <w:right w:val="single" w:color="auto" w:sz="4" w:space="0"/>
            </w:tcBorders>
            <w:noWrap w:val="0"/>
            <w:vAlign w:val="center"/>
          </w:tcPr>
          <w:p w14:paraId="1F07E7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-13</w:t>
            </w:r>
          </w:p>
        </w:tc>
        <w:tc>
          <w:tcPr>
            <w:tcW w:w="6960" w:type="dxa"/>
            <w:gridSpan w:val="2"/>
            <w:tcBorders>
              <w:top w:val="single" w:color="auto" w:sz="4" w:space="0"/>
              <w:left w:val="single" w:color="auto" w:sz="4" w:space="0"/>
              <w:bottom w:val="single" w:color="auto" w:sz="4" w:space="0"/>
              <w:right w:val="single" w:color="auto" w:sz="4" w:space="0"/>
            </w:tcBorders>
            <w:noWrap w:val="0"/>
            <w:vAlign w:val="center"/>
          </w:tcPr>
          <w:p w14:paraId="42BD207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rPr>
              <w:t>具有</w:t>
            </w:r>
            <w:r>
              <w:rPr>
                <w:rFonts w:hint="eastAsia" w:ascii="宋体" w:hAnsi="宋体" w:eastAsia="宋体" w:cs="宋体"/>
                <w:color w:val="000000"/>
                <w:kern w:val="0"/>
                <w:sz w:val="24"/>
                <w:lang w:val="en-US" w:eastAsia="zh-CN"/>
              </w:rPr>
              <w:t>花卉绿植租借与代管理服务企业资质证书</w:t>
            </w:r>
            <w:r>
              <w:rPr>
                <w:rFonts w:hint="eastAsia" w:ascii="宋体" w:hAnsi="宋体" w:eastAsia="宋体" w:cs="宋体"/>
                <w:color w:val="000000"/>
                <w:kern w:val="0"/>
                <w:sz w:val="24"/>
              </w:rPr>
              <w:t>，得</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分；其余得0分。</w:t>
            </w:r>
          </w:p>
        </w:tc>
        <w:tc>
          <w:tcPr>
            <w:tcW w:w="1297" w:type="dxa"/>
            <w:tcBorders>
              <w:top w:val="single" w:color="auto" w:sz="4" w:space="0"/>
              <w:left w:val="single" w:color="auto" w:sz="4" w:space="0"/>
              <w:bottom w:val="single" w:color="auto" w:sz="4" w:space="0"/>
              <w:right w:val="single" w:color="auto" w:sz="4" w:space="0"/>
            </w:tcBorders>
            <w:noWrap w:val="0"/>
            <w:vAlign w:val="center"/>
          </w:tcPr>
          <w:p w14:paraId="2A05E90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分</w:t>
            </w:r>
          </w:p>
        </w:tc>
      </w:tr>
    </w:tbl>
    <w:p w14:paraId="381250F4">
      <w:pPr>
        <w:pageBreakBefore w:val="0"/>
        <w:kinsoku/>
        <w:wordWrap/>
        <w:topLinePunct w:val="0"/>
        <w:bidi w:val="0"/>
        <w:snapToGrid/>
        <w:spacing w:beforeAutospacing="0" w:afterAutospacing="0" w:line="360" w:lineRule="auto"/>
        <w:outlineLvl w:val="9"/>
        <w:rPr>
          <w:rFonts w:hint="eastAsia" w:ascii="宋体" w:hAnsi="宋体" w:eastAsia="宋体" w:cs="宋体"/>
          <w:color w:val="000000"/>
          <w:sz w:val="24"/>
          <w:highlight w:val="none"/>
        </w:rPr>
      </w:pPr>
    </w:p>
    <w:p w14:paraId="7F90222A">
      <w:pPr>
        <w:pStyle w:val="5"/>
        <w:pageBreakBefore w:val="0"/>
        <w:kinsoku/>
        <w:wordWrap/>
        <w:topLinePunct w:val="0"/>
        <w:bidi w:val="0"/>
        <w:snapToGrid/>
        <w:spacing w:beforeAutospacing="0" w:afterAutospacing="0"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2、报价评审</w:t>
      </w:r>
    </w:p>
    <w:p w14:paraId="38F6DF80">
      <w:pPr>
        <w:pStyle w:val="5"/>
        <w:pageBreakBefore w:val="0"/>
        <w:kinsoku/>
        <w:wordWrap/>
        <w:topLinePunct w:val="0"/>
        <w:bidi w:val="0"/>
        <w:snapToGrid/>
        <w:spacing w:beforeAutospacing="0" w:afterAutospacing="0" w:line="360" w:lineRule="auto"/>
        <w:ind w:firstLine="482" w:firstLineChars="200"/>
        <w:rPr>
          <w:rFonts w:hint="eastAsia" w:ascii="宋体" w:hAnsi="宋体" w:eastAsia="宋体" w:cs="宋体"/>
          <w:b/>
          <w:color w:val="000000"/>
          <w:sz w:val="24"/>
          <w:highlight w:val="none"/>
        </w:rPr>
      </w:pPr>
      <w:r>
        <w:rPr>
          <w:rFonts w:hint="eastAsia" w:ascii="宋体" w:hAnsi="宋体" w:eastAsia="宋体" w:cs="宋体"/>
          <w:b/>
          <w:color w:val="000000"/>
          <w:sz w:val="24"/>
          <w:szCs w:val="24"/>
          <w:highlight w:val="none"/>
        </w:rPr>
        <w:t>2.1</w:t>
      </w:r>
      <w:r>
        <w:rPr>
          <w:rFonts w:hint="eastAsia" w:ascii="宋体" w:hAnsi="宋体" w:eastAsia="宋体" w:cs="宋体"/>
          <w:b/>
          <w:color w:val="000000"/>
          <w:sz w:val="24"/>
          <w:highlight w:val="none"/>
        </w:rPr>
        <w:t>甄别异常报价：有下列情况之一的投标报价不进入报价分计算环节：</w:t>
      </w:r>
    </w:p>
    <w:p w14:paraId="4AEAD0EA">
      <w:pPr>
        <w:pageBreakBefore w:val="0"/>
        <w:kinsoku/>
        <w:wordWrap/>
        <w:topLinePunct w:val="0"/>
        <w:bidi w:val="0"/>
        <w:adjustRightInd w:val="0"/>
        <w:snapToGrid/>
        <w:spacing w:beforeAutospacing="0" w:afterAutospacing="0" w:line="360" w:lineRule="auto"/>
        <w:ind w:firstLine="475" w:firstLineChars="198"/>
        <w:rPr>
          <w:rFonts w:hint="eastAsia" w:ascii="宋体" w:hAnsi="宋体" w:eastAsia="宋体" w:cs="宋体"/>
          <w:b/>
          <w:color w:val="000000"/>
          <w:sz w:val="24"/>
          <w:highlight w:val="none"/>
        </w:rPr>
      </w:pPr>
      <w:r>
        <w:rPr>
          <w:rFonts w:hint="eastAsia" w:ascii="宋体" w:hAnsi="宋体" w:eastAsia="宋体" w:cs="宋体"/>
          <w:color w:val="000000"/>
          <w:sz w:val="24"/>
          <w:highlight w:val="none"/>
        </w:rPr>
        <w:t>①报价高于预算价；</w:t>
      </w:r>
    </w:p>
    <w:p w14:paraId="73AEA6F9">
      <w:pPr>
        <w:pageBreakBefore w:val="0"/>
        <w:kinsoku/>
        <w:wordWrap/>
        <w:topLinePunct w:val="0"/>
        <w:bidi w:val="0"/>
        <w:adjustRightInd w:val="0"/>
        <w:snapToGrid/>
        <w:spacing w:beforeAutospacing="0" w:afterAutospacing="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②投标报价高于最高限价；</w:t>
      </w:r>
    </w:p>
    <w:p w14:paraId="0AF017D8">
      <w:pPr>
        <w:pageBreakBefore w:val="0"/>
        <w:kinsoku/>
        <w:wordWrap/>
        <w:topLinePunct w:val="0"/>
        <w:bidi w:val="0"/>
        <w:adjustRightInd w:val="0"/>
        <w:snapToGrid/>
        <w:spacing w:beforeAutospacing="0" w:afterAutospacing="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③分析总报价及各个分项报价是否合理、报价范围是否完整、有否重大错漏项、是否超过最高限价。如评标委员会认为投标人的报价明显低于其他通过符合性审查投标人的报价，有可能影响产品质量或者不能诚信履约的，应当要求其在评标现场合理的时间内提供书面说明，必要时提交相关佐证材料；投标人不能证明其报价合理性的，评标委员会应当将其作为无效投标处理。</w:t>
      </w:r>
    </w:p>
    <w:p w14:paraId="0E081721">
      <w:pPr>
        <w:pageBreakBefore w:val="0"/>
        <w:kinsoku/>
        <w:wordWrap/>
        <w:topLinePunct w:val="0"/>
        <w:bidi w:val="0"/>
        <w:adjustRightInd w:val="0"/>
        <w:snapToGrid/>
        <w:spacing w:beforeAutospacing="0" w:afterAutospacing="0" w:line="360" w:lineRule="auto"/>
        <w:ind w:firstLine="472" w:firstLineChars="196"/>
        <w:rPr>
          <w:rFonts w:hint="eastAsia" w:ascii="宋体" w:hAnsi="宋体" w:eastAsia="宋体" w:cs="宋体"/>
          <w:b/>
          <w:color w:val="000000"/>
          <w:sz w:val="24"/>
          <w:highlight w:val="none"/>
          <w:lang w:eastAsia="zh-CN"/>
        </w:rPr>
      </w:pPr>
      <w:r>
        <w:rPr>
          <w:rFonts w:hint="eastAsia" w:ascii="宋体" w:hAnsi="宋体" w:eastAsia="宋体" w:cs="宋体"/>
          <w:b/>
          <w:color w:val="000000"/>
          <w:sz w:val="24"/>
          <w:highlight w:val="none"/>
        </w:rPr>
        <w:t>2.2报价评审</w:t>
      </w:r>
      <w:r>
        <w:rPr>
          <w:rFonts w:hint="eastAsia" w:ascii="宋体" w:hAnsi="宋体" w:eastAsia="宋体" w:cs="宋体"/>
          <w:b/>
          <w:color w:val="000000"/>
          <w:sz w:val="24"/>
          <w:highlight w:val="none"/>
          <w:lang w:eastAsia="zh-CN"/>
        </w:rPr>
        <w:t>，</w:t>
      </w:r>
      <w:r>
        <w:rPr>
          <w:rFonts w:hint="eastAsia" w:ascii="宋体" w:hAnsi="宋体" w:eastAsia="宋体" w:cs="宋体"/>
          <w:b/>
          <w:color w:val="000000"/>
          <w:sz w:val="24"/>
          <w:highlight w:val="none"/>
          <w:lang w:val="en-US" w:eastAsia="zh-CN"/>
        </w:rPr>
        <w:t>满分为20分</w:t>
      </w:r>
      <w:r>
        <w:rPr>
          <w:rFonts w:hint="eastAsia" w:ascii="宋体" w:hAnsi="宋体" w:eastAsia="宋体" w:cs="宋体"/>
          <w:b/>
          <w:color w:val="000000"/>
          <w:sz w:val="24"/>
          <w:highlight w:val="none"/>
          <w:lang w:eastAsia="zh-CN"/>
        </w:rPr>
        <w:t>。</w:t>
      </w:r>
    </w:p>
    <w:p w14:paraId="0133B8BD">
      <w:pPr>
        <w:pageBreakBefore w:val="0"/>
        <w:kinsoku/>
        <w:wordWrap/>
        <w:topLinePunct w:val="0"/>
        <w:bidi w:val="0"/>
        <w:snapToGrid/>
        <w:spacing w:beforeAutospacing="0" w:afterAutospacing="0" w:line="360" w:lineRule="auto"/>
        <w:ind w:left="283" w:leftChars="135" w:firstLine="120" w:firstLineChars="5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highlight w:val="none"/>
        </w:rPr>
        <w:t>（1）</w:t>
      </w:r>
      <w:r>
        <w:rPr>
          <w:rFonts w:hint="eastAsia" w:ascii="宋体" w:hAnsi="宋体" w:eastAsia="宋体" w:cs="宋体"/>
          <w:color w:val="000000"/>
          <w:kern w:val="0"/>
          <w:sz w:val="24"/>
          <w:highlight w:val="none"/>
        </w:rPr>
        <w:t>以各投标人所报</w:t>
      </w:r>
      <w:r>
        <w:rPr>
          <w:rFonts w:hint="eastAsia" w:ascii="宋体" w:hAnsi="宋体" w:eastAsia="宋体" w:cs="宋体"/>
          <w:color w:val="000000"/>
          <w:kern w:val="0"/>
          <w:sz w:val="24"/>
          <w:highlight w:val="none"/>
          <w:lang w:val="en-US" w:eastAsia="zh-CN"/>
        </w:rPr>
        <w:t>总报价</w:t>
      </w:r>
      <w:r>
        <w:rPr>
          <w:rFonts w:hint="eastAsia" w:ascii="宋体" w:hAnsi="宋体" w:eastAsia="宋体" w:cs="宋体"/>
          <w:color w:val="000000"/>
          <w:kern w:val="0"/>
          <w:sz w:val="24"/>
          <w:highlight w:val="none"/>
        </w:rPr>
        <w:t>的</w:t>
      </w:r>
      <w:r>
        <w:rPr>
          <w:rFonts w:hint="eastAsia" w:ascii="宋体" w:hAnsi="宋体" w:eastAsia="宋体" w:cs="宋体"/>
          <w:color w:val="000000"/>
          <w:kern w:val="0"/>
          <w:sz w:val="24"/>
          <w:highlight w:val="none"/>
          <w:lang w:val="en-US" w:eastAsia="zh-CN"/>
        </w:rPr>
        <w:t>最低价</w:t>
      </w:r>
      <w:r>
        <w:rPr>
          <w:rFonts w:hint="eastAsia" w:ascii="宋体" w:hAnsi="宋体" w:eastAsia="宋体" w:cs="宋体"/>
          <w:color w:val="000000"/>
          <w:kern w:val="0"/>
          <w:sz w:val="24"/>
          <w:highlight w:val="none"/>
        </w:rPr>
        <w:t>为基准价</w:t>
      </w:r>
      <w:r>
        <w:rPr>
          <w:rFonts w:hint="eastAsia" w:ascii="宋体" w:hAnsi="宋体" w:eastAsia="宋体" w:cs="宋体"/>
          <w:color w:val="000000"/>
          <w:sz w:val="24"/>
          <w:szCs w:val="24"/>
          <w:highlight w:val="none"/>
          <w:lang w:val="en-US" w:eastAsia="zh-CN"/>
        </w:rPr>
        <w:t>；</w:t>
      </w:r>
    </w:p>
    <w:p w14:paraId="1CFE1DFC">
      <w:pPr>
        <w:pageBreakBefore w:val="0"/>
        <w:kinsoku/>
        <w:wordWrap/>
        <w:topLinePunct w:val="0"/>
        <w:bidi w:val="0"/>
        <w:snapToGrid/>
        <w:spacing w:beforeAutospacing="0" w:afterAutospacing="0" w:line="360" w:lineRule="auto"/>
        <w:ind w:left="283" w:leftChars="135" w:firstLine="120" w:firstLineChars="50"/>
        <w:rPr>
          <w:rFonts w:hint="eastAsia" w:ascii="宋体" w:hAnsi="宋体" w:eastAsia="宋体" w:cs="宋体"/>
          <w:color w:val="000000"/>
          <w:sz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highlight w:val="none"/>
        </w:rPr>
        <w:t>报价分计算。</w:t>
      </w:r>
    </w:p>
    <w:p w14:paraId="741DA033">
      <w:pPr>
        <w:pageBreakBefore w:val="0"/>
        <w:kinsoku/>
        <w:wordWrap/>
        <w:topLinePunct w:val="0"/>
        <w:bidi w:val="0"/>
        <w:snapToGrid/>
        <w:spacing w:beforeAutospacing="0" w:afterAutospacing="0" w:line="360" w:lineRule="auto"/>
        <w:ind w:left="359" w:leftChars="171"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highlight w:val="none"/>
        </w:rPr>
        <w:t>报价得分=（评标基准价/投标报价）×</w:t>
      </w:r>
      <w:r>
        <w:rPr>
          <w:rFonts w:hint="eastAsia" w:ascii="宋体" w:hAnsi="宋体" w:eastAsia="宋体" w:cs="宋体"/>
          <w:color w:val="000000"/>
          <w:sz w:val="24"/>
          <w:highlight w:val="none"/>
          <w:lang w:val="en-US" w:eastAsia="zh-CN"/>
        </w:rPr>
        <w:t>10</w:t>
      </w:r>
      <w:r>
        <w:rPr>
          <w:rFonts w:hint="eastAsia" w:ascii="宋体" w:hAnsi="宋体" w:eastAsia="宋体" w:cs="宋体"/>
          <w:color w:val="000000"/>
          <w:sz w:val="24"/>
          <w:highlight w:val="none"/>
        </w:rPr>
        <w:t>%×100，保留小数2位</w:t>
      </w:r>
    </w:p>
    <w:p w14:paraId="40395B83">
      <w:pPr>
        <w:pageBreakBefore w:val="0"/>
        <w:kinsoku/>
        <w:wordWrap/>
        <w:topLinePunct w:val="0"/>
        <w:bidi w:val="0"/>
        <w:snapToGrid/>
        <w:spacing w:beforeAutospacing="0" w:afterAutospacing="0" w:line="360" w:lineRule="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3、计算总分（满分为100分）</w:t>
      </w:r>
    </w:p>
    <w:p w14:paraId="1668F476">
      <w:pPr>
        <w:pStyle w:val="5"/>
        <w:pageBreakBefore w:val="0"/>
        <w:kinsoku/>
        <w:wordWrap/>
        <w:topLinePunct w:val="0"/>
        <w:bidi w:val="0"/>
        <w:snapToGrid/>
        <w:spacing w:beforeAutospacing="0" w:afterAutospacing="0" w:line="360" w:lineRule="auto"/>
        <w:ind w:firstLine="24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 xml:space="preserve">   计算方法：投标人总得分 = 商务技术得分+报价得分</w:t>
      </w:r>
    </w:p>
    <w:p w14:paraId="74BB07DB">
      <w:pPr>
        <w:pStyle w:val="11"/>
        <w:pageBreakBefore w:val="0"/>
        <w:kinsoku/>
        <w:wordWrap/>
        <w:topLinePunct w:val="0"/>
        <w:bidi w:val="0"/>
        <w:snapToGrid/>
        <w:spacing w:before="0" w:beforeLines="0" w:beforeAutospacing="0" w:after="0" w:afterLines="0" w:afterAutospacing="0" w:line="360" w:lineRule="auto"/>
        <w:ind w:left="1349" w:leftChars="26" w:hanging="1294" w:hangingChars="537"/>
        <w:outlineLvl w:val="9"/>
        <w:rPr>
          <w:rFonts w:hint="eastAsia" w:ascii="宋体" w:hAnsi="宋体" w:eastAsia="宋体" w:cs="宋体"/>
          <w:color w:val="000000"/>
          <w:sz w:val="24"/>
          <w:highlight w:val="none"/>
        </w:rPr>
      </w:pPr>
      <w:r>
        <w:rPr>
          <w:rFonts w:hint="eastAsia" w:ascii="宋体" w:hAnsi="宋体" w:eastAsia="宋体" w:cs="宋体"/>
          <w:color w:val="000000"/>
          <w:szCs w:val="24"/>
          <w:highlight w:val="none"/>
        </w:rPr>
        <w:t>4、确定中标人</w:t>
      </w:r>
    </w:p>
    <w:p w14:paraId="0399C0D0">
      <w:pPr>
        <w:pageBreakBefore w:val="0"/>
        <w:kinsoku/>
        <w:wordWrap/>
        <w:topLinePunct w:val="0"/>
        <w:bidi w:val="0"/>
        <w:adjustRightInd w:val="0"/>
        <w:snapToGrid/>
        <w:spacing w:beforeAutospacing="0" w:afterAutospacing="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完成评标后，按总得分由高到低排定顺序（得分相同的，按年度绿化养护报价由低到高顺序排列；得分且年度绿化养护报价相同的，按商务技术分由高到低顺序排列，商务技术分也相同的，按采购人抽签决定排序），评标委员会根据以上排序直接确定第一名的投标单位为中标人。</w:t>
      </w:r>
    </w:p>
    <w:p w14:paraId="1DC8CE7C">
      <w:pPr>
        <w:pageBreakBefore w:val="0"/>
        <w:kinsoku/>
        <w:wordWrap/>
        <w:topLinePunct w:val="0"/>
        <w:bidi w:val="0"/>
        <w:snapToGrid/>
        <w:spacing w:beforeAutospacing="0" w:afterAutospacing="0" w:line="360" w:lineRule="auto"/>
        <w:ind w:firstLine="480" w:firstLineChars="200"/>
        <w:rPr>
          <w:rFonts w:hint="default" w:ascii="宋体" w:hAnsi="宋体" w:eastAsia="宋体" w:cs="宋体"/>
          <w:color w:val="000000"/>
          <w:sz w:val="24"/>
          <w:highlight w:val="none"/>
        </w:rPr>
      </w:pPr>
      <w:r>
        <w:rPr>
          <w:rFonts w:hint="eastAsia" w:ascii="宋体" w:hAnsi="宋体" w:eastAsia="宋体" w:cs="宋体"/>
          <w:color w:val="000000"/>
          <w:sz w:val="24"/>
          <w:highlight w:val="none"/>
        </w:rPr>
        <w:t>当确定的中标人放弃中标，因不可抗力提出不能履行合同，重新组织招标。</w:t>
      </w:r>
    </w:p>
    <w:p w14:paraId="7D3F5EC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left"/>
        <w:rPr>
          <w:rFonts w:hint="default" w:ascii="黑体" w:hAnsi="黑体" w:eastAsia="黑体" w:cs="黑体"/>
          <w:b w:val="0"/>
          <w:bCs w:val="0"/>
          <w:color w:val="000000"/>
          <w:kern w:val="0"/>
          <w:sz w:val="30"/>
          <w:szCs w:val="30"/>
          <w:lang w:val="en-US" w:eastAsia="zh-CN" w:bidi="ar"/>
        </w:rPr>
      </w:pPr>
      <w:r>
        <w:rPr>
          <w:rFonts w:hint="eastAsia" w:ascii="黑体" w:hAnsi="黑体" w:eastAsia="黑体" w:cs="黑体"/>
          <w:b w:val="0"/>
          <w:bCs w:val="0"/>
          <w:color w:val="000000"/>
          <w:kern w:val="0"/>
          <w:sz w:val="30"/>
          <w:szCs w:val="30"/>
          <w:lang w:val="en-US" w:eastAsia="zh-CN" w:bidi="ar"/>
        </w:rPr>
        <w:t>八、</w:t>
      </w:r>
      <w:r>
        <w:rPr>
          <w:rFonts w:hint="default" w:ascii="黑体" w:hAnsi="黑体" w:eastAsia="黑体" w:cs="黑体"/>
          <w:b w:val="0"/>
          <w:bCs w:val="0"/>
          <w:color w:val="000000"/>
          <w:kern w:val="0"/>
          <w:sz w:val="30"/>
          <w:szCs w:val="30"/>
          <w:lang w:val="en-US" w:eastAsia="zh-CN" w:bidi="ar"/>
        </w:rPr>
        <w:t>报价一览表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798"/>
        <w:gridCol w:w="1450"/>
        <w:gridCol w:w="3625"/>
        <w:gridCol w:w="2212"/>
      </w:tblGrid>
      <w:tr w14:paraId="5DC0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shd w:val="clear" w:color="auto" w:fill="auto"/>
            <w:vAlign w:val="center"/>
          </w:tcPr>
          <w:p w14:paraId="0DA6EDFB">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序号</w:t>
            </w:r>
          </w:p>
        </w:tc>
        <w:tc>
          <w:tcPr>
            <w:tcW w:w="1798" w:type="dxa"/>
            <w:shd w:val="clear" w:color="auto" w:fill="auto"/>
            <w:vAlign w:val="center"/>
          </w:tcPr>
          <w:p w14:paraId="0F51FEE2">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植物类型</w:t>
            </w:r>
          </w:p>
        </w:tc>
        <w:tc>
          <w:tcPr>
            <w:tcW w:w="1450" w:type="dxa"/>
            <w:shd w:val="clear" w:color="auto" w:fill="auto"/>
            <w:vAlign w:val="center"/>
          </w:tcPr>
          <w:p w14:paraId="3062B2C9">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植物名称</w:t>
            </w:r>
          </w:p>
        </w:tc>
        <w:tc>
          <w:tcPr>
            <w:tcW w:w="3625" w:type="dxa"/>
            <w:shd w:val="clear" w:color="auto" w:fill="auto"/>
            <w:vAlign w:val="center"/>
          </w:tcPr>
          <w:p w14:paraId="21BA95D3">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参考图片</w:t>
            </w:r>
          </w:p>
        </w:tc>
        <w:tc>
          <w:tcPr>
            <w:tcW w:w="2212" w:type="dxa"/>
            <w:shd w:val="clear" w:color="auto" w:fill="auto"/>
            <w:vAlign w:val="center"/>
          </w:tcPr>
          <w:p w14:paraId="123695B9">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方案拟配置数量（株）</w:t>
            </w:r>
          </w:p>
        </w:tc>
      </w:tr>
      <w:tr w14:paraId="3C92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shd w:val="clear" w:color="auto" w:fill="auto"/>
            <w:vAlign w:val="center"/>
          </w:tcPr>
          <w:p w14:paraId="7EA2C460">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1</w:t>
            </w:r>
          </w:p>
        </w:tc>
        <w:tc>
          <w:tcPr>
            <w:tcW w:w="1798" w:type="dxa"/>
            <w:vMerge w:val="restart"/>
            <w:shd w:val="clear" w:color="auto" w:fill="auto"/>
            <w:vAlign w:val="center"/>
          </w:tcPr>
          <w:p w14:paraId="6754B8D9">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大型植物（植物 + 盆总高度 130cm</w:t>
            </w:r>
            <w:r>
              <w:rPr>
                <w:rFonts w:ascii="宋体" w:hAnsi="宋体" w:eastAsia="宋体" w:cs="宋体"/>
                <w:color w:val="000000"/>
                <w:kern w:val="0"/>
                <w:sz w:val="24"/>
                <w:szCs w:val="24"/>
                <w:lang w:val="en-US" w:eastAsia="zh-CN" w:bidi="ar"/>
              </w:rPr>
              <w:noBreakHyphen/>
            </w:r>
            <w:r>
              <w:rPr>
                <w:rFonts w:ascii="宋体" w:hAnsi="宋体" w:eastAsia="宋体" w:cs="宋体"/>
                <w:color w:val="000000"/>
                <w:kern w:val="0"/>
                <w:sz w:val="24"/>
                <w:szCs w:val="24"/>
                <w:lang w:val="en-US" w:eastAsia="zh-CN" w:bidi="ar"/>
              </w:rPr>
              <w:t>180cm）</w:t>
            </w:r>
          </w:p>
        </w:tc>
        <w:tc>
          <w:tcPr>
            <w:tcW w:w="1450" w:type="dxa"/>
            <w:shd w:val="clear" w:color="auto" w:fill="auto"/>
            <w:vAlign w:val="center"/>
          </w:tcPr>
          <w:p w14:paraId="0FB02304">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大叶绿萝柱</w:t>
            </w:r>
          </w:p>
        </w:tc>
        <w:tc>
          <w:tcPr>
            <w:tcW w:w="3625" w:type="dxa"/>
            <w:shd w:val="clear" w:color="auto" w:fill="auto"/>
            <w:vAlign w:val="center"/>
          </w:tcPr>
          <w:p w14:paraId="08909F7D">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fldChar w:fldCharType="begin"/>
            </w:r>
            <w:r>
              <w:rPr>
                <w:rFonts w:hint="eastAsia" w:ascii="宋体" w:hAnsi="宋体" w:eastAsia="宋体" w:cs="宋体"/>
                <w:i w:val="0"/>
                <w:iCs w:val="0"/>
                <w:color w:val="000000"/>
                <w:kern w:val="0"/>
                <w:sz w:val="22"/>
                <w:szCs w:val="22"/>
                <w:u w:val="none"/>
                <w:lang w:val="en-US" w:eastAsia="zh-CN" w:bidi="ar"/>
              </w:rPr>
              <w:instrText xml:space="preserve">INCLUDEPICTURE \d "C:\\Users\\goog\\AppData\\Local\\Temp\\ksohtml\\clip_cell_image10.png" \* MERGEFORMATINET </w:instrText>
            </w:r>
            <w:r>
              <w:rPr>
                <w:rFonts w:hint="eastAsia" w:ascii="宋体" w:hAnsi="宋体" w:eastAsia="宋体" w:cs="宋体"/>
                <w:i w:val="0"/>
                <w:iCs w:val="0"/>
                <w:color w:val="000000"/>
                <w:kern w:val="0"/>
                <w:sz w:val="22"/>
                <w:szCs w:val="22"/>
                <w:u w:val="none"/>
                <w:lang w:val="en-US" w:eastAsia="zh-CN" w:bidi="ar"/>
              </w:rPr>
              <w:fldChar w:fldCharType="separate"/>
            </w:r>
            <w:r>
              <w:rPr>
                <w:rFonts w:hint="eastAsia" w:ascii="宋体" w:hAnsi="宋体" w:eastAsia="宋体" w:cs="宋体"/>
                <w:i w:val="0"/>
                <w:iCs w:val="0"/>
                <w:color w:val="000000"/>
                <w:kern w:val="0"/>
                <w:sz w:val="22"/>
                <w:szCs w:val="22"/>
                <w:u w:val="none"/>
                <w:lang w:val="en-US" w:eastAsia="zh-CN" w:bidi="ar"/>
              </w:rPr>
              <w:drawing>
                <wp:inline distT="0" distB="0" distL="114300" distR="114300">
                  <wp:extent cx="2085975" cy="2095500"/>
                  <wp:effectExtent l="0" t="0" r="9525" b="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4"/>
                          <a:stretch>
                            <a:fillRect/>
                          </a:stretch>
                        </pic:blipFill>
                        <pic:spPr>
                          <a:xfrm>
                            <a:off x="0" y="0"/>
                            <a:ext cx="2085975" cy="2095500"/>
                          </a:xfrm>
                          <a:prstGeom prst="rect">
                            <a:avLst/>
                          </a:prstGeom>
                          <a:noFill/>
                          <a:ln>
                            <a:noFill/>
                          </a:ln>
                        </pic:spPr>
                      </pic:pic>
                    </a:graphicData>
                  </a:graphic>
                </wp:inline>
              </w:drawing>
            </w:r>
            <w:r>
              <w:rPr>
                <w:rFonts w:hint="eastAsia" w:ascii="宋体" w:hAnsi="宋体" w:eastAsia="宋体" w:cs="宋体"/>
                <w:i w:val="0"/>
                <w:iCs w:val="0"/>
                <w:color w:val="000000"/>
                <w:kern w:val="0"/>
                <w:sz w:val="22"/>
                <w:szCs w:val="22"/>
                <w:u w:val="none"/>
                <w:lang w:val="en-US" w:eastAsia="zh-CN" w:bidi="ar"/>
              </w:rPr>
              <w:fldChar w:fldCharType="end"/>
            </w:r>
          </w:p>
        </w:tc>
        <w:tc>
          <w:tcPr>
            <w:tcW w:w="2212" w:type="dxa"/>
            <w:shd w:val="clear" w:color="auto" w:fill="auto"/>
            <w:vAlign w:val="center"/>
          </w:tcPr>
          <w:p w14:paraId="43AA7226">
            <w:pPr>
              <w:keepNext w:val="0"/>
              <w:keepLines w:val="0"/>
              <w:widowControl/>
              <w:suppressLineNumbers w:val="0"/>
              <w:spacing w:before="0" w:beforeAutospacing="0" w:after="0" w:afterAutospacing="0" w:line="360" w:lineRule="atLeast"/>
              <w:ind w:left="0" w:leftChars="0" w:right="0" w:rightChars="0"/>
              <w:jc w:val="center"/>
              <w:rPr>
                <w:rFonts w:hint="default" w:asciiTheme="minorHAnsi" w:hAnsiTheme="minorHAnsi" w:eastAsiaTheme="minorEastAsia" w:cstheme="minorBidi"/>
                <w:color w:val="000000"/>
                <w:kern w:val="2"/>
                <w:sz w:val="24"/>
                <w:szCs w:val="24"/>
                <w:lang w:val="en-US" w:eastAsia="zh-CN" w:bidi="ar-SA"/>
              </w:rPr>
            </w:pPr>
            <w:r>
              <w:rPr>
                <w:rFonts w:hint="eastAsia" w:ascii="宋体" w:hAnsi="宋体" w:eastAsia="宋体" w:cs="宋体"/>
                <w:color w:val="000000"/>
                <w:kern w:val="0"/>
                <w:sz w:val="24"/>
                <w:szCs w:val="24"/>
                <w:lang w:val="en-US" w:eastAsia="zh-CN" w:bidi="ar"/>
              </w:rPr>
              <w:t>30</w:t>
            </w:r>
          </w:p>
        </w:tc>
      </w:tr>
      <w:tr w14:paraId="0C50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shd w:val="clear" w:color="auto" w:fill="auto"/>
            <w:vAlign w:val="center"/>
          </w:tcPr>
          <w:p w14:paraId="33899629">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2</w:t>
            </w:r>
          </w:p>
        </w:tc>
        <w:tc>
          <w:tcPr>
            <w:tcW w:w="1798" w:type="dxa"/>
            <w:vMerge w:val="continue"/>
            <w:shd w:val="clear" w:color="auto" w:fill="auto"/>
            <w:vAlign w:val="center"/>
          </w:tcPr>
          <w:p w14:paraId="455E4D55">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p>
        </w:tc>
        <w:tc>
          <w:tcPr>
            <w:tcW w:w="1450" w:type="dxa"/>
            <w:shd w:val="clear" w:color="auto" w:fill="auto"/>
            <w:vAlign w:val="center"/>
          </w:tcPr>
          <w:p w14:paraId="7E788E62">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琴叶榕</w:t>
            </w:r>
          </w:p>
        </w:tc>
        <w:tc>
          <w:tcPr>
            <w:tcW w:w="3625" w:type="dxa"/>
            <w:shd w:val="clear" w:color="auto" w:fill="auto"/>
            <w:vAlign w:val="center"/>
          </w:tcPr>
          <w:p w14:paraId="04848BFB">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fldChar w:fldCharType="begin"/>
            </w:r>
            <w:r>
              <w:rPr>
                <w:rFonts w:hint="eastAsia" w:ascii="宋体" w:hAnsi="宋体" w:eastAsia="宋体" w:cs="宋体"/>
                <w:i w:val="0"/>
                <w:iCs w:val="0"/>
                <w:color w:val="000000"/>
                <w:kern w:val="0"/>
                <w:sz w:val="22"/>
                <w:szCs w:val="22"/>
                <w:u w:val="none"/>
                <w:lang w:val="en-US" w:eastAsia="zh-CN" w:bidi="ar"/>
              </w:rPr>
              <w:instrText xml:space="preserve">INCLUDEPICTURE \d "C:\\Users\\goog\\AppData\\Local\\Temp\\ksohtml\\clip_cell_image11.png" \* MERGEFORMATINET </w:instrText>
            </w:r>
            <w:r>
              <w:rPr>
                <w:rFonts w:hint="eastAsia" w:ascii="宋体" w:hAnsi="宋体" w:eastAsia="宋体" w:cs="宋体"/>
                <w:i w:val="0"/>
                <w:iCs w:val="0"/>
                <w:color w:val="000000"/>
                <w:kern w:val="0"/>
                <w:sz w:val="22"/>
                <w:szCs w:val="22"/>
                <w:u w:val="none"/>
                <w:lang w:val="en-US" w:eastAsia="zh-CN" w:bidi="ar"/>
              </w:rPr>
              <w:fldChar w:fldCharType="separate"/>
            </w: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752600" cy="2059940"/>
                  <wp:effectExtent l="0" t="0" r="0" b="0"/>
                  <wp:docPr id="2"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7"/>
                          <pic:cNvPicPr>
                            <a:picLocks noChangeAspect="1"/>
                          </pic:cNvPicPr>
                        </pic:nvPicPr>
                        <pic:blipFill>
                          <a:blip r:embed="rId5"/>
                          <a:srcRect b="6378"/>
                          <a:stretch>
                            <a:fillRect/>
                          </a:stretch>
                        </pic:blipFill>
                        <pic:spPr>
                          <a:xfrm>
                            <a:off x="0" y="0"/>
                            <a:ext cx="1752600" cy="2059940"/>
                          </a:xfrm>
                          <a:prstGeom prst="rect">
                            <a:avLst/>
                          </a:prstGeom>
                          <a:noFill/>
                          <a:ln>
                            <a:noFill/>
                          </a:ln>
                        </pic:spPr>
                      </pic:pic>
                    </a:graphicData>
                  </a:graphic>
                </wp:inline>
              </w:drawing>
            </w:r>
            <w:r>
              <w:rPr>
                <w:rFonts w:hint="eastAsia" w:ascii="宋体" w:hAnsi="宋体" w:eastAsia="宋体" w:cs="宋体"/>
                <w:i w:val="0"/>
                <w:iCs w:val="0"/>
                <w:color w:val="000000"/>
                <w:kern w:val="0"/>
                <w:sz w:val="22"/>
                <w:szCs w:val="22"/>
                <w:u w:val="none"/>
                <w:lang w:val="en-US" w:eastAsia="zh-CN" w:bidi="ar"/>
              </w:rPr>
              <w:fldChar w:fldCharType="end"/>
            </w:r>
          </w:p>
        </w:tc>
        <w:tc>
          <w:tcPr>
            <w:tcW w:w="2212" w:type="dxa"/>
            <w:shd w:val="clear" w:color="auto" w:fill="auto"/>
            <w:vAlign w:val="center"/>
          </w:tcPr>
          <w:p w14:paraId="4F1D3FA1">
            <w:pPr>
              <w:keepNext w:val="0"/>
              <w:keepLines w:val="0"/>
              <w:widowControl/>
              <w:suppressLineNumbers w:val="0"/>
              <w:spacing w:before="0" w:beforeAutospacing="0" w:after="0" w:afterAutospacing="0" w:line="360" w:lineRule="atLeast"/>
              <w:ind w:left="0" w:leftChars="0" w:right="0" w:rightChars="0"/>
              <w:jc w:val="center"/>
              <w:rPr>
                <w:rFonts w:hint="default" w:asciiTheme="minorHAnsi" w:hAnsiTheme="minorHAnsi" w:eastAsiaTheme="minorEastAsia" w:cstheme="minorBidi"/>
                <w:color w:val="000000"/>
                <w:kern w:val="2"/>
                <w:sz w:val="24"/>
                <w:szCs w:val="24"/>
                <w:lang w:val="en-US" w:eastAsia="zh-CN" w:bidi="ar-SA"/>
              </w:rPr>
            </w:pPr>
            <w:r>
              <w:rPr>
                <w:rFonts w:hint="eastAsia" w:ascii="宋体" w:hAnsi="宋体" w:eastAsia="宋体" w:cs="宋体"/>
                <w:color w:val="000000"/>
                <w:kern w:val="0"/>
                <w:sz w:val="24"/>
                <w:szCs w:val="24"/>
                <w:lang w:val="en-US" w:eastAsia="zh-CN" w:bidi="ar"/>
              </w:rPr>
              <w:t>15</w:t>
            </w:r>
          </w:p>
        </w:tc>
      </w:tr>
      <w:tr w14:paraId="5841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shd w:val="clear" w:color="auto" w:fill="auto"/>
            <w:vAlign w:val="center"/>
          </w:tcPr>
          <w:p w14:paraId="58F40E91">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3</w:t>
            </w:r>
          </w:p>
        </w:tc>
        <w:tc>
          <w:tcPr>
            <w:tcW w:w="1798" w:type="dxa"/>
            <w:vMerge w:val="continue"/>
            <w:shd w:val="clear" w:color="auto" w:fill="auto"/>
            <w:vAlign w:val="center"/>
          </w:tcPr>
          <w:p w14:paraId="77090D54">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p>
        </w:tc>
        <w:tc>
          <w:tcPr>
            <w:tcW w:w="1450" w:type="dxa"/>
            <w:shd w:val="clear" w:color="auto" w:fill="auto"/>
            <w:vAlign w:val="center"/>
          </w:tcPr>
          <w:p w14:paraId="51D8801F">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发财树</w:t>
            </w:r>
          </w:p>
        </w:tc>
        <w:tc>
          <w:tcPr>
            <w:tcW w:w="3625" w:type="dxa"/>
            <w:shd w:val="clear" w:color="auto" w:fill="auto"/>
            <w:vAlign w:val="center"/>
          </w:tcPr>
          <w:p w14:paraId="1F09C765">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Theme="minorHAnsi" w:hAnsiTheme="minorHAnsi" w:eastAsiaTheme="minorEastAsia" w:cstheme="minorBidi"/>
                <w:color w:val="000000"/>
                <w:kern w:val="2"/>
                <w:sz w:val="24"/>
                <w:szCs w:val="24"/>
                <w:lang w:val="en-US" w:eastAsia="zh-CN" w:bidi="ar-SA"/>
              </w:rPr>
              <w:drawing>
                <wp:inline distT="0" distB="0" distL="114300" distR="114300">
                  <wp:extent cx="2091055" cy="2788285"/>
                  <wp:effectExtent l="0" t="0" r="12065" b="635"/>
                  <wp:docPr id="3" name="图片 3" descr="发财树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发财树 (4)"/>
                          <pic:cNvPicPr>
                            <a:picLocks noChangeAspect="1"/>
                          </pic:cNvPicPr>
                        </pic:nvPicPr>
                        <pic:blipFill>
                          <a:blip r:embed="rId6"/>
                          <a:stretch>
                            <a:fillRect/>
                          </a:stretch>
                        </pic:blipFill>
                        <pic:spPr>
                          <a:xfrm>
                            <a:off x="0" y="0"/>
                            <a:ext cx="2091055" cy="2788285"/>
                          </a:xfrm>
                          <a:prstGeom prst="rect">
                            <a:avLst/>
                          </a:prstGeom>
                        </pic:spPr>
                      </pic:pic>
                    </a:graphicData>
                  </a:graphic>
                </wp:inline>
              </w:drawing>
            </w:r>
          </w:p>
        </w:tc>
        <w:tc>
          <w:tcPr>
            <w:tcW w:w="2212" w:type="dxa"/>
            <w:shd w:val="clear" w:color="auto" w:fill="auto"/>
            <w:vAlign w:val="center"/>
          </w:tcPr>
          <w:p w14:paraId="33C2B78C">
            <w:pPr>
              <w:keepNext w:val="0"/>
              <w:keepLines w:val="0"/>
              <w:widowControl/>
              <w:suppressLineNumbers w:val="0"/>
              <w:spacing w:before="0" w:beforeAutospacing="0" w:after="0" w:afterAutospacing="0" w:line="360" w:lineRule="atLeast"/>
              <w:ind w:left="0" w:leftChars="0" w:right="0" w:rightChars="0"/>
              <w:jc w:val="center"/>
              <w:rPr>
                <w:rFonts w:hint="default" w:asciiTheme="minorHAnsi" w:hAnsiTheme="minorHAnsi" w:eastAsiaTheme="minorEastAsia" w:cstheme="minorBidi"/>
                <w:color w:val="000000"/>
                <w:kern w:val="2"/>
                <w:sz w:val="24"/>
                <w:szCs w:val="24"/>
                <w:lang w:val="en-US" w:eastAsia="zh-CN" w:bidi="ar-SA"/>
              </w:rPr>
            </w:pPr>
            <w:r>
              <w:rPr>
                <w:rFonts w:hint="eastAsia" w:ascii="宋体" w:hAnsi="宋体" w:eastAsia="宋体" w:cs="宋体"/>
                <w:color w:val="000000"/>
                <w:kern w:val="0"/>
                <w:sz w:val="24"/>
                <w:szCs w:val="24"/>
                <w:lang w:val="en-US" w:eastAsia="zh-CN" w:bidi="ar"/>
              </w:rPr>
              <w:t>15</w:t>
            </w:r>
          </w:p>
        </w:tc>
      </w:tr>
      <w:tr w14:paraId="1980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shd w:val="clear" w:color="auto" w:fill="auto"/>
            <w:vAlign w:val="center"/>
          </w:tcPr>
          <w:p w14:paraId="7324395D">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4</w:t>
            </w:r>
          </w:p>
        </w:tc>
        <w:tc>
          <w:tcPr>
            <w:tcW w:w="1798" w:type="dxa"/>
            <w:vMerge w:val="restart"/>
            <w:shd w:val="clear" w:color="auto" w:fill="auto"/>
            <w:vAlign w:val="center"/>
          </w:tcPr>
          <w:p w14:paraId="267BE638">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中型植物（60</w:t>
            </w:r>
            <w:r>
              <w:rPr>
                <w:rFonts w:ascii="宋体" w:hAnsi="宋体" w:eastAsia="宋体" w:cs="宋体"/>
                <w:color w:val="000000"/>
                <w:kern w:val="0"/>
                <w:sz w:val="24"/>
                <w:szCs w:val="24"/>
                <w:lang w:val="en-US" w:eastAsia="zh-CN" w:bidi="ar"/>
              </w:rPr>
              <w:noBreakHyphen/>
            </w:r>
            <w:r>
              <w:rPr>
                <w:rFonts w:ascii="宋体" w:hAnsi="宋体" w:eastAsia="宋体" w:cs="宋体"/>
                <w:color w:val="000000"/>
                <w:kern w:val="0"/>
                <w:sz w:val="24"/>
                <w:szCs w:val="24"/>
                <w:lang w:val="en-US" w:eastAsia="zh-CN" w:bidi="ar"/>
              </w:rPr>
              <w:t>110cm）</w:t>
            </w:r>
          </w:p>
        </w:tc>
        <w:tc>
          <w:tcPr>
            <w:tcW w:w="1450" w:type="dxa"/>
            <w:shd w:val="clear" w:color="auto" w:fill="auto"/>
            <w:vAlign w:val="center"/>
          </w:tcPr>
          <w:p w14:paraId="63713CAD">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龟背竹</w:t>
            </w:r>
          </w:p>
        </w:tc>
        <w:tc>
          <w:tcPr>
            <w:tcW w:w="3625" w:type="dxa"/>
            <w:shd w:val="clear" w:color="auto" w:fill="auto"/>
            <w:vAlign w:val="center"/>
          </w:tcPr>
          <w:p w14:paraId="71A6112E">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Theme="minorHAnsi" w:hAnsiTheme="minorHAnsi" w:eastAsiaTheme="minorEastAsia" w:cstheme="minorBidi"/>
                <w:color w:val="000000"/>
                <w:kern w:val="2"/>
                <w:sz w:val="24"/>
                <w:szCs w:val="24"/>
                <w:lang w:val="en-US" w:eastAsia="zh-CN" w:bidi="ar-SA"/>
              </w:rPr>
              <w:drawing>
                <wp:inline distT="0" distB="0" distL="114300" distR="114300">
                  <wp:extent cx="2098675" cy="2766695"/>
                  <wp:effectExtent l="0" t="0" r="4445" b="6985"/>
                  <wp:docPr id="4" name="图片 4" descr="67fd3cd73677d6a57c59ddcc944847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7fd3cd73677d6a57c59ddcc9448475e"/>
                          <pic:cNvPicPr>
                            <a:picLocks noChangeAspect="1"/>
                          </pic:cNvPicPr>
                        </pic:nvPicPr>
                        <pic:blipFill>
                          <a:blip r:embed="rId7"/>
                          <a:stretch>
                            <a:fillRect/>
                          </a:stretch>
                        </pic:blipFill>
                        <pic:spPr>
                          <a:xfrm>
                            <a:off x="0" y="0"/>
                            <a:ext cx="2098675" cy="2766695"/>
                          </a:xfrm>
                          <a:prstGeom prst="rect">
                            <a:avLst/>
                          </a:prstGeom>
                        </pic:spPr>
                      </pic:pic>
                    </a:graphicData>
                  </a:graphic>
                </wp:inline>
              </w:drawing>
            </w:r>
          </w:p>
        </w:tc>
        <w:tc>
          <w:tcPr>
            <w:tcW w:w="2212" w:type="dxa"/>
            <w:shd w:val="clear" w:color="auto" w:fill="auto"/>
            <w:vAlign w:val="center"/>
          </w:tcPr>
          <w:p w14:paraId="578A61E3">
            <w:pPr>
              <w:keepNext w:val="0"/>
              <w:keepLines w:val="0"/>
              <w:widowControl/>
              <w:suppressLineNumbers w:val="0"/>
              <w:spacing w:before="0" w:beforeAutospacing="0" w:after="0" w:afterAutospacing="0" w:line="360" w:lineRule="atLeast"/>
              <w:ind w:left="0" w:leftChars="0" w:right="0" w:rightChars="0"/>
              <w:jc w:val="center"/>
              <w:rPr>
                <w:rFonts w:hint="default" w:asciiTheme="minorHAnsi" w:hAnsiTheme="minorHAnsi" w:eastAsiaTheme="minorEastAsia" w:cstheme="minorBidi"/>
                <w:color w:val="000000"/>
                <w:kern w:val="2"/>
                <w:sz w:val="24"/>
                <w:szCs w:val="24"/>
                <w:lang w:val="en-US" w:eastAsia="zh-CN" w:bidi="ar-SA"/>
              </w:rPr>
            </w:pPr>
            <w:r>
              <w:rPr>
                <w:rFonts w:hint="eastAsia" w:cstheme="minorBidi"/>
                <w:color w:val="000000"/>
                <w:kern w:val="2"/>
                <w:sz w:val="24"/>
                <w:szCs w:val="24"/>
                <w:lang w:val="en-US" w:eastAsia="zh-CN" w:bidi="ar-SA"/>
              </w:rPr>
              <w:t>15</w:t>
            </w:r>
          </w:p>
        </w:tc>
      </w:tr>
      <w:tr w14:paraId="5B56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shd w:val="clear" w:color="auto" w:fill="auto"/>
            <w:vAlign w:val="center"/>
          </w:tcPr>
          <w:p w14:paraId="04513DF4">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5</w:t>
            </w:r>
          </w:p>
        </w:tc>
        <w:tc>
          <w:tcPr>
            <w:tcW w:w="1798" w:type="dxa"/>
            <w:vMerge w:val="continue"/>
            <w:shd w:val="clear" w:color="auto" w:fill="auto"/>
            <w:vAlign w:val="center"/>
          </w:tcPr>
          <w:p w14:paraId="1AAA40C5">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p>
        </w:tc>
        <w:tc>
          <w:tcPr>
            <w:tcW w:w="1450" w:type="dxa"/>
            <w:shd w:val="clear" w:color="auto" w:fill="auto"/>
            <w:vAlign w:val="center"/>
          </w:tcPr>
          <w:p w14:paraId="4622880B">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红掌</w:t>
            </w:r>
          </w:p>
        </w:tc>
        <w:tc>
          <w:tcPr>
            <w:tcW w:w="3625" w:type="dxa"/>
            <w:shd w:val="clear" w:color="auto" w:fill="auto"/>
            <w:vAlign w:val="center"/>
          </w:tcPr>
          <w:p w14:paraId="3B13EECB">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Theme="minorHAnsi" w:hAnsiTheme="minorHAnsi" w:eastAsiaTheme="minorEastAsia" w:cstheme="minorBidi"/>
                <w:color w:val="000000"/>
                <w:kern w:val="2"/>
                <w:sz w:val="24"/>
                <w:szCs w:val="24"/>
                <w:lang w:val="en-US" w:eastAsia="zh-CN" w:bidi="ar-SA"/>
              </w:rPr>
              <w:drawing>
                <wp:inline distT="0" distB="0" distL="114300" distR="114300">
                  <wp:extent cx="2103120" cy="2103120"/>
                  <wp:effectExtent l="0" t="0" r="0" b="0"/>
                  <wp:docPr id="5" name="图片 5" descr="红掌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红掌 (3)"/>
                          <pic:cNvPicPr>
                            <a:picLocks noChangeAspect="1"/>
                          </pic:cNvPicPr>
                        </pic:nvPicPr>
                        <pic:blipFill>
                          <a:blip r:embed="rId8"/>
                          <a:stretch>
                            <a:fillRect/>
                          </a:stretch>
                        </pic:blipFill>
                        <pic:spPr>
                          <a:xfrm>
                            <a:off x="0" y="0"/>
                            <a:ext cx="2103120" cy="2103120"/>
                          </a:xfrm>
                          <a:prstGeom prst="rect">
                            <a:avLst/>
                          </a:prstGeom>
                        </pic:spPr>
                      </pic:pic>
                    </a:graphicData>
                  </a:graphic>
                </wp:inline>
              </w:drawing>
            </w:r>
          </w:p>
        </w:tc>
        <w:tc>
          <w:tcPr>
            <w:tcW w:w="2212" w:type="dxa"/>
            <w:shd w:val="clear" w:color="auto" w:fill="auto"/>
            <w:vAlign w:val="center"/>
          </w:tcPr>
          <w:p w14:paraId="6FFBD2A0">
            <w:pPr>
              <w:keepNext w:val="0"/>
              <w:keepLines w:val="0"/>
              <w:widowControl/>
              <w:suppressLineNumbers w:val="0"/>
              <w:spacing w:before="0" w:beforeAutospacing="0" w:after="0" w:afterAutospacing="0" w:line="360" w:lineRule="atLeast"/>
              <w:ind w:left="0" w:leftChars="0" w:right="0" w:rightChars="0"/>
              <w:jc w:val="center"/>
              <w:rPr>
                <w:rFonts w:hint="default" w:asciiTheme="minorHAnsi" w:hAnsiTheme="minorHAnsi" w:eastAsiaTheme="minorEastAsia" w:cstheme="minorBidi"/>
                <w:color w:val="000000"/>
                <w:kern w:val="2"/>
                <w:sz w:val="24"/>
                <w:szCs w:val="24"/>
                <w:lang w:val="en-US" w:eastAsia="zh-CN" w:bidi="ar-SA"/>
              </w:rPr>
            </w:pPr>
            <w:r>
              <w:rPr>
                <w:rFonts w:hint="eastAsia" w:cstheme="minorBidi"/>
                <w:color w:val="000000"/>
                <w:kern w:val="2"/>
                <w:sz w:val="24"/>
                <w:szCs w:val="24"/>
                <w:lang w:val="en-US" w:eastAsia="zh-CN" w:bidi="ar-SA"/>
              </w:rPr>
              <w:t>15</w:t>
            </w:r>
          </w:p>
        </w:tc>
      </w:tr>
      <w:tr w14:paraId="399F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shd w:val="clear" w:color="auto" w:fill="auto"/>
            <w:vAlign w:val="center"/>
          </w:tcPr>
          <w:p w14:paraId="22C10979">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6</w:t>
            </w:r>
          </w:p>
        </w:tc>
        <w:tc>
          <w:tcPr>
            <w:tcW w:w="1798" w:type="dxa"/>
            <w:vMerge w:val="restart"/>
            <w:shd w:val="clear" w:color="auto" w:fill="auto"/>
            <w:vAlign w:val="center"/>
          </w:tcPr>
          <w:p w14:paraId="4956689B">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小型植物（25</w:t>
            </w:r>
            <w:r>
              <w:rPr>
                <w:rFonts w:ascii="宋体" w:hAnsi="宋体" w:eastAsia="宋体" w:cs="宋体"/>
                <w:color w:val="000000"/>
                <w:kern w:val="0"/>
                <w:sz w:val="24"/>
                <w:szCs w:val="24"/>
                <w:lang w:val="en-US" w:eastAsia="zh-CN" w:bidi="ar"/>
              </w:rPr>
              <w:noBreakHyphen/>
            </w:r>
            <w:r>
              <w:rPr>
                <w:rFonts w:ascii="宋体" w:hAnsi="宋体" w:eastAsia="宋体" w:cs="宋体"/>
                <w:color w:val="000000"/>
                <w:kern w:val="0"/>
                <w:sz w:val="24"/>
                <w:szCs w:val="24"/>
                <w:lang w:val="en-US" w:eastAsia="zh-CN" w:bidi="ar"/>
              </w:rPr>
              <w:t>55cm）</w:t>
            </w:r>
          </w:p>
        </w:tc>
        <w:tc>
          <w:tcPr>
            <w:tcW w:w="1450" w:type="dxa"/>
            <w:shd w:val="clear" w:color="auto" w:fill="auto"/>
            <w:vAlign w:val="center"/>
          </w:tcPr>
          <w:p w14:paraId="3375AB95">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虎皮兰</w:t>
            </w:r>
          </w:p>
        </w:tc>
        <w:tc>
          <w:tcPr>
            <w:tcW w:w="3625" w:type="dxa"/>
            <w:shd w:val="clear" w:color="auto" w:fill="auto"/>
            <w:vAlign w:val="center"/>
          </w:tcPr>
          <w:p w14:paraId="7038F527">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Theme="minorHAnsi" w:hAnsiTheme="minorHAnsi" w:eastAsiaTheme="minorEastAsia" w:cstheme="minorBidi"/>
                <w:color w:val="000000"/>
                <w:kern w:val="2"/>
                <w:sz w:val="24"/>
                <w:szCs w:val="24"/>
                <w:lang w:val="en-US" w:eastAsia="zh-CN" w:bidi="ar-SA"/>
              </w:rPr>
              <w:drawing>
                <wp:inline distT="0" distB="0" distL="114300" distR="114300">
                  <wp:extent cx="2103120" cy="2103120"/>
                  <wp:effectExtent l="0" t="0" r="0" b="0"/>
                  <wp:docPr id="6" name="图片 6" descr="大虎皮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大虎皮兰"/>
                          <pic:cNvPicPr>
                            <a:picLocks noChangeAspect="1"/>
                          </pic:cNvPicPr>
                        </pic:nvPicPr>
                        <pic:blipFill>
                          <a:blip r:embed="rId9"/>
                          <a:stretch>
                            <a:fillRect/>
                          </a:stretch>
                        </pic:blipFill>
                        <pic:spPr>
                          <a:xfrm>
                            <a:off x="0" y="0"/>
                            <a:ext cx="2103120" cy="2103120"/>
                          </a:xfrm>
                          <a:prstGeom prst="rect">
                            <a:avLst/>
                          </a:prstGeom>
                        </pic:spPr>
                      </pic:pic>
                    </a:graphicData>
                  </a:graphic>
                </wp:inline>
              </w:drawing>
            </w:r>
          </w:p>
        </w:tc>
        <w:tc>
          <w:tcPr>
            <w:tcW w:w="2212" w:type="dxa"/>
            <w:shd w:val="clear" w:color="auto" w:fill="auto"/>
            <w:vAlign w:val="center"/>
          </w:tcPr>
          <w:p w14:paraId="7F3FF252">
            <w:pPr>
              <w:keepNext w:val="0"/>
              <w:keepLines w:val="0"/>
              <w:widowControl/>
              <w:suppressLineNumbers w:val="0"/>
              <w:spacing w:before="0" w:beforeAutospacing="0" w:after="0" w:afterAutospacing="0" w:line="360" w:lineRule="atLeast"/>
              <w:ind w:left="0" w:leftChars="0" w:right="0" w:rightChars="0"/>
              <w:jc w:val="center"/>
              <w:rPr>
                <w:rFonts w:hint="default" w:asciiTheme="minorHAnsi" w:hAnsiTheme="minorHAnsi" w:eastAsiaTheme="minorEastAsia" w:cstheme="minorBidi"/>
                <w:color w:val="000000"/>
                <w:kern w:val="2"/>
                <w:sz w:val="24"/>
                <w:szCs w:val="24"/>
                <w:lang w:val="en-US" w:eastAsia="zh-CN" w:bidi="ar-SA"/>
              </w:rPr>
            </w:pPr>
            <w:r>
              <w:rPr>
                <w:rFonts w:hint="eastAsia" w:cstheme="minorBidi"/>
                <w:color w:val="000000"/>
                <w:kern w:val="2"/>
                <w:sz w:val="24"/>
                <w:szCs w:val="24"/>
                <w:lang w:val="en-US" w:eastAsia="zh-CN" w:bidi="ar-SA"/>
              </w:rPr>
              <w:t>15</w:t>
            </w:r>
          </w:p>
        </w:tc>
      </w:tr>
      <w:tr w14:paraId="3AA8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shd w:val="clear" w:color="auto" w:fill="auto"/>
            <w:vAlign w:val="center"/>
          </w:tcPr>
          <w:p w14:paraId="6CC6A655">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7</w:t>
            </w:r>
          </w:p>
        </w:tc>
        <w:tc>
          <w:tcPr>
            <w:tcW w:w="1798" w:type="dxa"/>
            <w:vMerge w:val="continue"/>
            <w:shd w:val="clear" w:color="auto" w:fill="auto"/>
            <w:vAlign w:val="center"/>
          </w:tcPr>
          <w:p w14:paraId="5F16BF1A">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p>
        </w:tc>
        <w:tc>
          <w:tcPr>
            <w:tcW w:w="1450" w:type="dxa"/>
            <w:shd w:val="clear" w:color="auto" w:fill="auto"/>
            <w:vAlign w:val="center"/>
          </w:tcPr>
          <w:p w14:paraId="74D1EB1B">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白掌</w:t>
            </w:r>
          </w:p>
        </w:tc>
        <w:tc>
          <w:tcPr>
            <w:tcW w:w="3625" w:type="dxa"/>
            <w:shd w:val="clear" w:color="auto" w:fill="auto"/>
            <w:vAlign w:val="center"/>
          </w:tcPr>
          <w:p w14:paraId="588B881C">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Theme="minorHAnsi" w:hAnsiTheme="minorHAnsi" w:eastAsiaTheme="minorEastAsia" w:cstheme="minorBidi"/>
                <w:color w:val="000000"/>
                <w:kern w:val="2"/>
                <w:sz w:val="24"/>
                <w:szCs w:val="24"/>
                <w:lang w:val="en-US" w:eastAsia="zh-CN" w:bidi="ar-SA"/>
              </w:rPr>
              <w:drawing>
                <wp:inline distT="0" distB="0" distL="114300" distR="114300">
                  <wp:extent cx="2103120" cy="2804160"/>
                  <wp:effectExtent l="0" t="0" r="0" b="0"/>
                  <wp:docPr id="7" name="图片 7" descr="60460d8f2f396a6c15a40ecef2cd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0460d8f2f396a6c15a40ecef2cd1d0"/>
                          <pic:cNvPicPr>
                            <a:picLocks noChangeAspect="1"/>
                          </pic:cNvPicPr>
                        </pic:nvPicPr>
                        <pic:blipFill>
                          <a:blip r:embed="rId10"/>
                          <a:stretch>
                            <a:fillRect/>
                          </a:stretch>
                        </pic:blipFill>
                        <pic:spPr>
                          <a:xfrm>
                            <a:off x="0" y="0"/>
                            <a:ext cx="2103120" cy="2804160"/>
                          </a:xfrm>
                          <a:prstGeom prst="rect">
                            <a:avLst/>
                          </a:prstGeom>
                        </pic:spPr>
                      </pic:pic>
                    </a:graphicData>
                  </a:graphic>
                </wp:inline>
              </w:drawing>
            </w:r>
          </w:p>
        </w:tc>
        <w:tc>
          <w:tcPr>
            <w:tcW w:w="2212" w:type="dxa"/>
            <w:shd w:val="clear" w:color="auto" w:fill="auto"/>
            <w:vAlign w:val="center"/>
          </w:tcPr>
          <w:p w14:paraId="10A81AA0">
            <w:pPr>
              <w:keepNext w:val="0"/>
              <w:keepLines w:val="0"/>
              <w:widowControl/>
              <w:suppressLineNumbers w:val="0"/>
              <w:spacing w:before="0" w:beforeAutospacing="0" w:after="0" w:afterAutospacing="0" w:line="360" w:lineRule="atLeast"/>
              <w:ind w:left="0" w:leftChars="0" w:right="0" w:rightChars="0"/>
              <w:jc w:val="center"/>
              <w:rPr>
                <w:rFonts w:hint="default" w:asciiTheme="minorHAnsi" w:hAnsiTheme="minorHAnsi" w:eastAsiaTheme="minorEastAsia" w:cstheme="minorBidi"/>
                <w:color w:val="000000"/>
                <w:kern w:val="2"/>
                <w:sz w:val="24"/>
                <w:szCs w:val="24"/>
                <w:lang w:val="en-US" w:eastAsia="zh-CN" w:bidi="ar-SA"/>
              </w:rPr>
            </w:pPr>
            <w:r>
              <w:rPr>
                <w:rFonts w:hint="eastAsia" w:cstheme="minorBidi"/>
                <w:color w:val="000000"/>
                <w:kern w:val="2"/>
                <w:sz w:val="24"/>
                <w:szCs w:val="24"/>
                <w:lang w:val="en-US" w:eastAsia="zh-CN" w:bidi="ar-SA"/>
              </w:rPr>
              <w:t>15</w:t>
            </w:r>
          </w:p>
        </w:tc>
      </w:tr>
    </w:tbl>
    <w:p w14:paraId="0DB7B21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以上绿植品类</w:t>
      </w:r>
      <w:r>
        <w:rPr>
          <w:rFonts w:ascii="宋体" w:hAnsi="宋体" w:eastAsia="宋体" w:cs="宋体"/>
          <w:color w:val="000000"/>
          <w:kern w:val="0"/>
          <w:sz w:val="24"/>
          <w:szCs w:val="24"/>
          <w:lang w:val="en-US" w:eastAsia="zh-CN" w:bidi="ar"/>
        </w:rPr>
        <w:t>可同档次轮换</w:t>
      </w:r>
      <w:r>
        <w:rPr>
          <w:rFonts w:hint="eastAsia" w:ascii="宋体" w:hAnsi="宋体" w:eastAsia="宋体" w:cs="宋体"/>
          <w:color w:val="000000"/>
          <w:kern w:val="0"/>
          <w:sz w:val="24"/>
          <w:szCs w:val="24"/>
          <w:lang w:val="en-US" w:eastAsia="zh-CN" w:bidi="ar"/>
        </w:rPr>
        <w:t>，</w:t>
      </w:r>
      <w:r>
        <w:rPr>
          <w:rStyle w:val="10"/>
          <w:rFonts w:hint="eastAsia" w:ascii="宋体" w:hAnsi="宋体" w:eastAsia="宋体" w:cs="宋体"/>
          <w:b/>
          <w:bCs/>
          <w:color w:val="000000"/>
          <w:kern w:val="0"/>
          <w:sz w:val="24"/>
          <w:szCs w:val="24"/>
          <w:lang w:val="en-US" w:eastAsia="zh-CN" w:bidi="ar"/>
        </w:rPr>
        <w:t>每月摆放绿植株数稳定120（上浮动10%）株，同档次品种轮换不增加月度服务费用</w:t>
      </w:r>
      <w:r>
        <w:rPr>
          <w:rFonts w:hint="eastAsia" w:ascii="宋体" w:hAnsi="宋体" w:eastAsia="宋体" w:cs="宋体"/>
          <w:color w:val="000000"/>
          <w:kern w:val="0"/>
          <w:sz w:val="24"/>
          <w:szCs w:val="24"/>
          <w:lang w:val="en-US" w:eastAsia="zh-CN" w:bidi="ar"/>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0"/>
        <w:gridCol w:w="2490"/>
        <w:gridCol w:w="4624"/>
      </w:tblGrid>
      <w:tr w14:paraId="751C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Pr>
          <w:p w14:paraId="5897E120">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宋体" w:hAnsi="宋体" w:eastAsia="宋体" w:cs="宋体"/>
                <w:color w:val="000000"/>
                <w:kern w:val="0"/>
                <w:sz w:val="24"/>
                <w:szCs w:val="24"/>
                <w:vertAlign w:val="baseline"/>
                <w:lang w:val="en-US" w:eastAsia="zh-CN" w:bidi="ar"/>
              </w:rPr>
            </w:pPr>
            <w:r>
              <w:rPr>
                <w:rStyle w:val="10"/>
                <w:rFonts w:ascii="宋体" w:hAnsi="宋体" w:eastAsia="宋体" w:cs="宋体"/>
                <w:b/>
                <w:bCs/>
                <w:color w:val="000000"/>
                <w:kern w:val="0"/>
                <w:sz w:val="24"/>
                <w:szCs w:val="24"/>
                <w:lang w:val="en-US" w:eastAsia="zh-CN" w:bidi="ar"/>
              </w:rPr>
              <w:t>合计月度配置总株</w:t>
            </w:r>
          </w:p>
        </w:tc>
        <w:tc>
          <w:tcPr>
            <w:tcW w:w="2490" w:type="dxa"/>
          </w:tcPr>
          <w:p w14:paraId="5679229C">
            <w:pPr>
              <w:keepNext w:val="0"/>
              <w:keepLines w:val="0"/>
              <w:widowControl/>
              <w:numPr>
                <w:ilvl w:val="0"/>
                <w:numId w:val="0"/>
              </w:numPr>
              <w:suppressLineNumbers w:val="0"/>
              <w:spacing w:before="0" w:beforeAutospacing="0" w:after="0" w:afterAutospacing="0" w:line="360" w:lineRule="atLeast"/>
              <w:ind w:right="0" w:rightChars="0"/>
              <w:jc w:val="center"/>
              <w:rPr>
                <w:rStyle w:val="10"/>
                <w:rFonts w:ascii="宋体" w:hAnsi="宋体" w:eastAsia="宋体" w:cs="宋体"/>
                <w:b/>
                <w:bCs/>
                <w:color w:val="000000"/>
                <w:kern w:val="0"/>
                <w:sz w:val="24"/>
                <w:szCs w:val="24"/>
                <w:lang w:val="en-US" w:eastAsia="zh-CN" w:bidi="ar"/>
              </w:rPr>
            </w:pPr>
            <w:r>
              <w:rPr>
                <w:rStyle w:val="10"/>
                <w:rFonts w:ascii="宋体" w:hAnsi="宋体" w:eastAsia="宋体" w:cs="宋体"/>
                <w:b/>
                <w:bCs/>
                <w:color w:val="000000"/>
                <w:kern w:val="0"/>
                <w:sz w:val="24"/>
                <w:szCs w:val="24"/>
                <w:lang w:val="en-US" w:eastAsia="zh-CN" w:bidi="ar"/>
              </w:rPr>
              <w:t>120 株</w:t>
            </w:r>
          </w:p>
          <w:p w14:paraId="15DD1DE8">
            <w:pPr>
              <w:keepNext w:val="0"/>
              <w:keepLines w:val="0"/>
              <w:widowControl/>
              <w:numPr>
                <w:ilvl w:val="0"/>
                <w:numId w:val="0"/>
              </w:numPr>
              <w:suppressLineNumbers w:val="0"/>
              <w:spacing w:before="0" w:beforeAutospacing="0" w:after="0" w:afterAutospacing="0" w:line="360" w:lineRule="atLeast"/>
              <w:ind w:right="0" w:rightChars="0"/>
              <w:jc w:val="center"/>
              <w:rPr>
                <w:rStyle w:val="10"/>
                <w:rFonts w:hint="eastAsia" w:ascii="宋体" w:hAnsi="宋体" w:eastAsia="宋体" w:cs="宋体"/>
                <w:b/>
                <w:bCs/>
                <w:color w:val="000000"/>
                <w:kern w:val="0"/>
                <w:sz w:val="24"/>
                <w:szCs w:val="24"/>
                <w:lang w:val="en-US" w:eastAsia="zh-CN" w:bidi="ar"/>
              </w:rPr>
            </w:pPr>
            <w:r>
              <w:rPr>
                <w:rStyle w:val="10"/>
                <w:rFonts w:hint="eastAsia" w:ascii="宋体" w:hAnsi="宋体" w:eastAsia="宋体" w:cs="宋体"/>
                <w:b/>
                <w:bCs/>
                <w:color w:val="000000"/>
                <w:kern w:val="0"/>
                <w:sz w:val="24"/>
                <w:szCs w:val="24"/>
                <w:lang w:val="en-US" w:eastAsia="zh-CN" w:bidi="ar"/>
              </w:rPr>
              <w:t>（上下浮动10%）</w:t>
            </w:r>
          </w:p>
        </w:tc>
        <w:tc>
          <w:tcPr>
            <w:tcW w:w="4624" w:type="dxa"/>
          </w:tcPr>
          <w:p w14:paraId="40DD7C8B">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宋体" w:hAnsi="宋体" w:eastAsia="宋体" w:cs="宋体"/>
                <w:color w:val="000000"/>
                <w:kern w:val="0"/>
                <w:sz w:val="24"/>
                <w:szCs w:val="24"/>
                <w:vertAlign w:val="baseline"/>
                <w:lang w:val="en-US" w:eastAsia="zh-CN" w:bidi="ar"/>
              </w:rPr>
            </w:pPr>
            <w:r>
              <w:rPr>
                <w:rStyle w:val="10"/>
                <w:rFonts w:ascii="宋体" w:hAnsi="宋体" w:eastAsia="宋体" w:cs="宋体"/>
                <w:b/>
                <w:bCs/>
                <w:color w:val="000000"/>
                <w:kern w:val="0"/>
                <w:sz w:val="24"/>
                <w:szCs w:val="24"/>
                <w:lang w:val="en-US" w:eastAsia="zh-CN" w:bidi="ar"/>
              </w:rPr>
              <w:t>本项目执行 24 个月总包干，按月度固定总价结算，不以单株单价结算</w:t>
            </w:r>
          </w:p>
        </w:tc>
      </w:tr>
      <w:tr w14:paraId="5872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Pr>
          <w:p w14:paraId="050A8110">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宋体" w:hAnsi="宋体" w:eastAsia="宋体" w:cs="宋体"/>
                <w:color w:val="000000"/>
                <w:kern w:val="0"/>
                <w:sz w:val="24"/>
                <w:szCs w:val="24"/>
                <w:vertAlign w:val="baseline"/>
                <w:lang w:val="en-US" w:eastAsia="zh-CN" w:bidi="ar"/>
              </w:rPr>
            </w:pPr>
            <w:r>
              <w:rPr>
                <w:rFonts w:ascii="宋体" w:hAnsi="宋体" w:eastAsia="宋体" w:cs="宋体"/>
                <w:color w:val="000000"/>
                <w:kern w:val="0"/>
                <w:sz w:val="24"/>
                <w:szCs w:val="24"/>
                <w:lang w:val="en-US" w:eastAsia="zh-CN" w:bidi="ar"/>
              </w:rPr>
              <w:t>24 个月总包干报价（元）</w:t>
            </w:r>
          </w:p>
        </w:tc>
        <w:tc>
          <w:tcPr>
            <w:tcW w:w="2490" w:type="dxa"/>
          </w:tcPr>
          <w:p w14:paraId="1D55641A">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宋体" w:hAnsi="宋体" w:eastAsia="宋体" w:cs="宋体"/>
                <w:color w:val="000000"/>
                <w:kern w:val="0"/>
                <w:sz w:val="24"/>
                <w:szCs w:val="24"/>
                <w:vertAlign w:val="baseline"/>
                <w:lang w:val="en-US" w:eastAsia="zh-CN" w:bidi="ar"/>
              </w:rPr>
            </w:pPr>
          </w:p>
        </w:tc>
        <w:tc>
          <w:tcPr>
            <w:tcW w:w="4624" w:type="dxa"/>
          </w:tcPr>
          <w:p w14:paraId="1BEABDF4">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宋体" w:hAnsi="宋体" w:eastAsia="宋体" w:cs="宋体"/>
                <w:color w:val="000000"/>
                <w:kern w:val="0"/>
                <w:sz w:val="24"/>
                <w:szCs w:val="24"/>
                <w:vertAlign w:val="baseline"/>
                <w:lang w:val="en-US" w:eastAsia="zh-CN" w:bidi="ar"/>
              </w:rPr>
            </w:pPr>
            <w:r>
              <w:rPr>
                <w:rFonts w:ascii="宋体" w:hAnsi="宋体" w:eastAsia="宋体" w:cs="宋体"/>
                <w:color w:val="000000"/>
                <w:kern w:val="0"/>
                <w:sz w:val="24"/>
                <w:szCs w:val="24"/>
                <w:lang w:val="en-US" w:eastAsia="zh-CN" w:bidi="ar"/>
              </w:rPr>
              <w:t>大写：</w:t>
            </w:r>
          </w:p>
        </w:tc>
      </w:tr>
      <w:tr w14:paraId="19A8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490" w:type="dxa"/>
          </w:tcPr>
          <w:p w14:paraId="2FA8D2A4">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宋体" w:hAnsi="宋体" w:eastAsia="宋体" w:cs="宋体"/>
                <w:color w:val="000000"/>
                <w:kern w:val="0"/>
                <w:sz w:val="24"/>
                <w:szCs w:val="24"/>
                <w:vertAlign w:val="baseline"/>
                <w:lang w:val="en-US" w:eastAsia="zh-CN" w:bidi="ar"/>
              </w:rPr>
            </w:pPr>
            <w:r>
              <w:rPr>
                <w:rFonts w:ascii="宋体" w:hAnsi="宋体" w:eastAsia="宋体" w:cs="宋体"/>
                <w:color w:val="000000"/>
                <w:kern w:val="0"/>
                <w:sz w:val="24"/>
                <w:szCs w:val="24"/>
                <w:lang w:val="en-US" w:eastAsia="zh-CN" w:bidi="ar"/>
              </w:rPr>
              <w:t>折算每月包干价（元）</w:t>
            </w:r>
          </w:p>
        </w:tc>
        <w:tc>
          <w:tcPr>
            <w:tcW w:w="2490" w:type="dxa"/>
          </w:tcPr>
          <w:p w14:paraId="5F68CF79">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宋体" w:hAnsi="宋体" w:eastAsia="宋体" w:cs="宋体"/>
                <w:color w:val="000000"/>
                <w:kern w:val="0"/>
                <w:sz w:val="24"/>
                <w:szCs w:val="24"/>
                <w:vertAlign w:val="baseline"/>
                <w:lang w:val="en-US" w:eastAsia="zh-CN" w:bidi="ar"/>
              </w:rPr>
            </w:pPr>
          </w:p>
        </w:tc>
        <w:tc>
          <w:tcPr>
            <w:tcW w:w="4624" w:type="dxa"/>
          </w:tcPr>
          <w:p w14:paraId="7842D8F9">
            <w:pPr>
              <w:keepNext w:val="0"/>
              <w:keepLines w:val="0"/>
              <w:widowControl/>
              <w:numPr>
                <w:ilvl w:val="0"/>
                <w:numId w:val="0"/>
              </w:numPr>
              <w:suppressLineNumbers w:val="0"/>
              <w:spacing w:before="0" w:beforeAutospacing="0" w:after="0" w:afterAutospacing="0" w:line="360" w:lineRule="atLeast"/>
              <w:ind w:right="0" w:rightChars="0"/>
              <w:jc w:val="left"/>
              <w:rPr>
                <w:rFonts w:hint="eastAsia" w:ascii="宋体" w:hAnsi="宋体" w:eastAsia="宋体" w:cs="宋体"/>
                <w:color w:val="000000"/>
                <w:kern w:val="0"/>
                <w:sz w:val="24"/>
                <w:szCs w:val="24"/>
                <w:vertAlign w:val="baseline"/>
                <w:lang w:val="en-US" w:eastAsia="zh-CN" w:bidi="ar"/>
              </w:rPr>
            </w:pPr>
            <w:r>
              <w:rPr>
                <w:rFonts w:ascii="宋体" w:hAnsi="宋体" w:eastAsia="宋体" w:cs="宋体"/>
                <w:color w:val="000000"/>
                <w:kern w:val="0"/>
                <w:sz w:val="24"/>
                <w:szCs w:val="24"/>
                <w:lang w:val="en-US" w:eastAsia="zh-CN" w:bidi="ar"/>
              </w:rPr>
              <w:t>大写：</w:t>
            </w:r>
          </w:p>
        </w:tc>
      </w:tr>
    </w:tbl>
    <w:p w14:paraId="608B717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left"/>
        <w:rPr>
          <w:rFonts w:hint="eastAsia" w:ascii="宋体" w:hAnsi="宋体" w:eastAsia="宋体" w:cs="宋体"/>
          <w:color w:val="000000"/>
          <w:kern w:val="0"/>
          <w:sz w:val="24"/>
          <w:szCs w:val="24"/>
          <w:lang w:val="en-US" w:eastAsia="zh-CN" w:bidi="ar"/>
        </w:rPr>
      </w:pPr>
    </w:p>
    <w:p w14:paraId="1B0E30A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left"/>
        <w:rPr>
          <w:rFonts w:hint="eastAsia" w:ascii="宋体" w:hAnsi="宋体" w:eastAsia="宋体" w:cs="宋体"/>
          <w:color w:val="000000"/>
          <w:kern w:val="0"/>
          <w:sz w:val="24"/>
          <w:szCs w:val="24"/>
          <w:lang w:val="en-US" w:eastAsia="zh-CN" w:bidi="ar"/>
        </w:rPr>
      </w:pPr>
    </w:p>
    <w:p w14:paraId="126F35EC">
      <w:pPr>
        <w:jc w:val="center"/>
        <w:rPr>
          <w:rFonts w:hint="default"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pPr>
    </w:p>
    <w:p w14:paraId="7D6A91AE">
      <w:pP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br w:type="page"/>
      </w:r>
    </w:p>
    <w:p w14:paraId="2576485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附件一  考核细则</w:t>
      </w:r>
    </w:p>
    <w:p w14:paraId="0D21F3C2">
      <w:pPr>
        <w:spacing w:line="360" w:lineRule="auto"/>
        <w:rPr>
          <w:rFonts w:ascii="宋体" w:hAnsi="宋体"/>
          <w:sz w:val="24"/>
        </w:rPr>
      </w:pPr>
    </w:p>
    <w:tbl>
      <w:tblPr>
        <w:tblStyle w:val="7"/>
        <w:tblW w:w="9042" w:type="dxa"/>
        <w:tblInd w:w="-5" w:type="dxa"/>
        <w:tblLayout w:type="autofit"/>
        <w:tblCellMar>
          <w:top w:w="0" w:type="dxa"/>
          <w:left w:w="108" w:type="dxa"/>
          <w:bottom w:w="0" w:type="dxa"/>
          <w:right w:w="108" w:type="dxa"/>
        </w:tblCellMar>
      </w:tblPr>
      <w:tblGrid>
        <w:gridCol w:w="709"/>
        <w:gridCol w:w="992"/>
        <w:gridCol w:w="851"/>
        <w:gridCol w:w="4927"/>
        <w:gridCol w:w="783"/>
        <w:gridCol w:w="780"/>
      </w:tblGrid>
      <w:tr w14:paraId="38EF4CFC">
        <w:tblPrEx>
          <w:tblCellMar>
            <w:top w:w="0" w:type="dxa"/>
            <w:left w:w="108" w:type="dxa"/>
            <w:bottom w:w="0" w:type="dxa"/>
            <w:right w:w="108" w:type="dxa"/>
          </w:tblCellMar>
        </w:tblPrEx>
        <w:trPr>
          <w:trHeight w:val="44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96D8EBD">
            <w:pPr>
              <w:widowControl/>
              <w:spacing w:line="360" w:lineRule="auto"/>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992" w:type="dxa"/>
            <w:tcBorders>
              <w:top w:val="single" w:color="auto" w:sz="4" w:space="0"/>
              <w:left w:val="nil"/>
              <w:bottom w:val="single" w:color="auto" w:sz="4" w:space="0"/>
              <w:right w:val="single" w:color="auto" w:sz="4" w:space="0"/>
            </w:tcBorders>
            <w:noWrap/>
            <w:vAlign w:val="center"/>
          </w:tcPr>
          <w:p w14:paraId="6CF47DFE">
            <w:pPr>
              <w:widowControl/>
              <w:spacing w:line="360" w:lineRule="auto"/>
              <w:jc w:val="center"/>
              <w:rPr>
                <w:rFonts w:ascii="宋体" w:hAnsi="宋体" w:cs="宋体"/>
                <w:b/>
                <w:bCs/>
                <w:color w:val="000000"/>
                <w:kern w:val="0"/>
                <w:sz w:val="22"/>
                <w:szCs w:val="22"/>
              </w:rPr>
            </w:pPr>
            <w:r>
              <w:rPr>
                <w:rFonts w:hint="eastAsia" w:ascii="宋体" w:hAnsi="宋体" w:cs="宋体"/>
                <w:b/>
                <w:bCs/>
                <w:color w:val="000000"/>
                <w:kern w:val="0"/>
                <w:sz w:val="22"/>
                <w:szCs w:val="22"/>
              </w:rPr>
              <w:t>项目</w:t>
            </w:r>
          </w:p>
        </w:tc>
        <w:tc>
          <w:tcPr>
            <w:tcW w:w="851" w:type="dxa"/>
            <w:tcBorders>
              <w:top w:val="single" w:color="auto" w:sz="4" w:space="0"/>
              <w:left w:val="nil"/>
              <w:bottom w:val="single" w:color="auto" w:sz="4" w:space="0"/>
              <w:right w:val="single" w:color="auto" w:sz="4" w:space="0"/>
            </w:tcBorders>
            <w:noWrap/>
            <w:vAlign w:val="center"/>
          </w:tcPr>
          <w:p w14:paraId="6A1B01A9">
            <w:pPr>
              <w:widowControl/>
              <w:spacing w:line="360" w:lineRule="auto"/>
              <w:jc w:val="center"/>
              <w:rPr>
                <w:rFonts w:ascii="宋体" w:hAnsi="宋体" w:cs="宋体"/>
                <w:b/>
                <w:bCs/>
                <w:color w:val="000000"/>
                <w:kern w:val="0"/>
                <w:sz w:val="22"/>
                <w:szCs w:val="22"/>
              </w:rPr>
            </w:pPr>
            <w:r>
              <w:rPr>
                <w:rFonts w:hint="eastAsia" w:ascii="宋体" w:hAnsi="宋体" w:cs="宋体"/>
                <w:b/>
                <w:bCs/>
                <w:color w:val="000000"/>
                <w:kern w:val="0"/>
                <w:sz w:val="22"/>
                <w:szCs w:val="22"/>
              </w:rPr>
              <w:t>分数</w:t>
            </w:r>
          </w:p>
        </w:tc>
        <w:tc>
          <w:tcPr>
            <w:tcW w:w="4927" w:type="dxa"/>
            <w:tcBorders>
              <w:top w:val="single" w:color="auto" w:sz="4" w:space="0"/>
              <w:left w:val="nil"/>
              <w:bottom w:val="single" w:color="auto" w:sz="4" w:space="0"/>
              <w:right w:val="single" w:color="auto" w:sz="4" w:space="0"/>
            </w:tcBorders>
            <w:noWrap/>
            <w:vAlign w:val="center"/>
          </w:tcPr>
          <w:p w14:paraId="57CD2650">
            <w:pPr>
              <w:widowControl/>
              <w:spacing w:line="360" w:lineRule="auto"/>
              <w:jc w:val="center"/>
              <w:rPr>
                <w:rFonts w:ascii="宋体" w:hAnsi="宋体" w:cs="宋体"/>
                <w:b/>
                <w:bCs/>
                <w:color w:val="000000"/>
                <w:kern w:val="0"/>
                <w:sz w:val="22"/>
                <w:szCs w:val="22"/>
              </w:rPr>
            </w:pPr>
            <w:r>
              <w:rPr>
                <w:rFonts w:hint="eastAsia" w:ascii="宋体" w:hAnsi="宋体" w:cs="宋体"/>
                <w:b/>
                <w:bCs/>
                <w:color w:val="000000"/>
                <w:kern w:val="0"/>
                <w:sz w:val="22"/>
                <w:szCs w:val="22"/>
              </w:rPr>
              <w:t>评分标准</w:t>
            </w:r>
          </w:p>
        </w:tc>
        <w:tc>
          <w:tcPr>
            <w:tcW w:w="783" w:type="dxa"/>
            <w:tcBorders>
              <w:top w:val="single" w:color="auto" w:sz="4" w:space="0"/>
              <w:left w:val="nil"/>
              <w:bottom w:val="single" w:color="auto" w:sz="4" w:space="0"/>
              <w:right w:val="single" w:color="auto" w:sz="4" w:space="0"/>
            </w:tcBorders>
            <w:noWrap/>
            <w:vAlign w:val="center"/>
          </w:tcPr>
          <w:p w14:paraId="7A1E9C27">
            <w:pPr>
              <w:widowControl/>
              <w:spacing w:line="360" w:lineRule="auto"/>
              <w:jc w:val="center"/>
              <w:rPr>
                <w:rFonts w:ascii="宋体" w:hAnsi="宋体" w:cs="宋体"/>
                <w:b/>
                <w:bCs/>
                <w:color w:val="000000"/>
                <w:kern w:val="0"/>
                <w:sz w:val="22"/>
                <w:szCs w:val="22"/>
              </w:rPr>
            </w:pPr>
            <w:r>
              <w:rPr>
                <w:rFonts w:hint="eastAsia" w:ascii="宋体" w:hAnsi="宋体" w:cs="宋体"/>
                <w:b/>
                <w:bCs/>
                <w:color w:val="000000"/>
                <w:kern w:val="0"/>
                <w:sz w:val="22"/>
                <w:szCs w:val="22"/>
              </w:rPr>
              <w:t>扣分</w:t>
            </w:r>
          </w:p>
        </w:tc>
        <w:tc>
          <w:tcPr>
            <w:tcW w:w="780" w:type="dxa"/>
            <w:tcBorders>
              <w:top w:val="single" w:color="auto" w:sz="4" w:space="0"/>
              <w:left w:val="nil"/>
              <w:bottom w:val="single" w:color="auto" w:sz="4" w:space="0"/>
              <w:right w:val="single" w:color="auto" w:sz="4" w:space="0"/>
            </w:tcBorders>
            <w:noWrap/>
            <w:vAlign w:val="center"/>
          </w:tcPr>
          <w:p w14:paraId="1FCD23E1">
            <w:pPr>
              <w:widowControl/>
              <w:spacing w:line="360" w:lineRule="auto"/>
              <w:jc w:val="center"/>
              <w:rPr>
                <w:rFonts w:ascii="宋体" w:hAnsi="宋体" w:cs="宋体"/>
                <w:b/>
                <w:bCs/>
                <w:color w:val="000000"/>
                <w:kern w:val="0"/>
                <w:sz w:val="22"/>
                <w:szCs w:val="22"/>
              </w:rPr>
            </w:pPr>
            <w:r>
              <w:rPr>
                <w:rFonts w:hint="eastAsia" w:ascii="宋体" w:hAnsi="宋体" w:cs="宋体"/>
                <w:b/>
                <w:bCs/>
                <w:color w:val="000000"/>
                <w:kern w:val="0"/>
                <w:sz w:val="22"/>
                <w:szCs w:val="22"/>
              </w:rPr>
              <w:t>得分</w:t>
            </w:r>
          </w:p>
        </w:tc>
      </w:tr>
      <w:tr w14:paraId="5943B68C">
        <w:tblPrEx>
          <w:tblCellMar>
            <w:top w:w="0" w:type="dxa"/>
            <w:left w:w="108" w:type="dxa"/>
            <w:bottom w:w="0" w:type="dxa"/>
            <w:right w:w="108" w:type="dxa"/>
          </w:tblCellMar>
        </w:tblPrEx>
        <w:trPr>
          <w:trHeight w:val="441" w:hRule="atLeast"/>
        </w:trPr>
        <w:tc>
          <w:tcPr>
            <w:tcW w:w="709" w:type="dxa"/>
            <w:vMerge w:val="restart"/>
            <w:tcBorders>
              <w:top w:val="nil"/>
              <w:left w:val="single" w:color="auto" w:sz="4" w:space="0"/>
              <w:bottom w:val="single" w:color="auto" w:sz="4" w:space="0"/>
              <w:right w:val="single" w:color="auto" w:sz="4" w:space="0"/>
            </w:tcBorders>
            <w:noWrap/>
            <w:vAlign w:val="center"/>
          </w:tcPr>
          <w:p w14:paraId="36724B88">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92" w:type="dxa"/>
            <w:vMerge w:val="restart"/>
            <w:tcBorders>
              <w:top w:val="nil"/>
              <w:left w:val="single" w:color="auto" w:sz="4" w:space="0"/>
              <w:bottom w:val="single" w:color="auto" w:sz="4" w:space="0"/>
              <w:right w:val="single" w:color="auto" w:sz="4" w:space="0"/>
            </w:tcBorders>
            <w:noWrap w:val="0"/>
            <w:vAlign w:val="center"/>
          </w:tcPr>
          <w:p w14:paraId="264D1439">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养护本规范填写</w:t>
            </w:r>
          </w:p>
        </w:tc>
        <w:tc>
          <w:tcPr>
            <w:tcW w:w="851" w:type="dxa"/>
            <w:vMerge w:val="restart"/>
            <w:tcBorders>
              <w:top w:val="nil"/>
              <w:left w:val="single" w:color="auto" w:sz="4" w:space="0"/>
              <w:bottom w:val="single" w:color="auto" w:sz="4" w:space="0"/>
              <w:right w:val="single" w:color="auto" w:sz="4" w:space="0"/>
            </w:tcBorders>
            <w:noWrap/>
            <w:vAlign w:val="center"/>
          </w:tcPr>
          <w:p w14:paraId="0711E03F">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1A639513">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1.日期1分；</w:t>
            </w:r>
          </w:p>
        </w:tc>
        <w:tc>
          <w:tcPr>
            <w:tcW w:w="783" w:type="dxa"/>
            <w:tcBorders>
              <w:top w:val="nil"/>
              <w:left w:val="nil"/>
              <w:bottom w:val="single" w:color="auto" w:sz="4" w:space="0"/>
              <w:right w:val="single" w:color="auto" w:sz="4" w:space="0"/>
            </w:tcBorders>
            <w:noWrap/>
            <w:vAlign w:val="center"/>
          </w:tcPr>
          <w:p w14:paraId="005D60A7">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5A1A83E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C24A9A9">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1DAB803B">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3D2BFB4C">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2AA53B42">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4CB3BE77">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2.到达时间1分；</w:t>
            </w:r>
          </w:p>
        </w:tc>
        <w:tc>
          <w:tcPr>
            <w:tcW w:w="783" w:type="dxa"/>
            <w:tcBorders>
              <w:top w:val="nil"/>
              <w:left w:val="nil"/>
              <w:bottom w:val="single" w:color="auto" w:sz="4" w:space="0"/>
              <w:right w:val="single" w:color="auto" w:sz="4" w:space="0"/>
            </w:tcBorders>
            <w:noWrap/>
            <w:vAlign w:val="center"/>
          </w:tcPr>
          <w:p w14:paraId="3392286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2A63B7DB">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44C5E8C7">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59644283">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3E445721">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2B564286">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0054960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3.离开时间1分；</w:t>
            </w:r>
          </w:p>
        </w:tc>
        <w:tc>
          <w:tcPr>
            <w:tcW w:w="783" w:type="dxa"/>
            <w:tcBorders>
              <w:top w:val="nil"/>
              <w:left w:val="nil"/>
              <w:bottom w:val="single" w:color="auto" w:sz="4" w:space="0"/>
              <w:right w:val="single" w:color="auto" w:sz="4" w:space="0"/>
            </w:tcBorders>
            <w:noWrap/>
            <w:vAlign w:val="center"/>
          </w:tcPr>
          <w:p w14:paraId="7B40D7D6">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365E7DF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7E95287E">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578CB36F">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067AC680">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0A3F60F6">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045E2CC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4.工作内容及评价1分；</w:t>
            </w:r>
          </w:p>
        </w:tc>
        <w:tc>
          <w:tcPr>
            <w:tcW w:w="783" w:type="dxa"/>
            <w:tcBorders>
              <w:top w:val="nil"/>
              <w:left w:val="nil"/>
              <w:bottom w:val="single" w:color="auto" w:sz="4" w:space="0"/>
              <w:right w:val="single" w:color="auto" w:sz="4" w:space="0"/>
            </w:tcBorders>
            <w:noWrap/>
            <w:vAlign w:val="center"/>
          </w:tcPr>
          <w:p w14:paraId="1B0C1FDE">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68EC68A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9B33ACC">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0C1923E3">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4B0C4FC4">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23B2281D">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147CF6E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5.增减花情况1分；</w:t>
            </w:r>
          </w:p>
        </w:tc>
        <w:tc>
          <w:tcPr>
            <w:tcW w:w="783" w:type="dxa"/>
            <w:tcBorders>
              <w:top w:val="nil"/>
              <w:left w:val="nil"/>
              <w:bottom w:val="single" w:color="auto" w:sz="4" w:space="0"/>
              <w:right w:val="single" w:color="auto" w:sz="4" w:space="0"/>
            </w:tcBorders>
            <w:noWrap/>
            <w:vAlign w:val="center"/>
          </w:tcPr>
          <w:p w14:paraId="577F4C4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47F5D05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87961CF">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310A101E">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03DE7191">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3AB2F735">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27498CD3">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6.植物长势情况1分；</w:t>
            </w:r>
          </w:p>
        </w:tc>
        <w:tc>
          <w:tcPr>
            <w:tcW w:w="783" w:type="dxa"/>
            <w:tcBorders>
              <w:top w:val="nil"/>
              <w:left w:val="nil"/>
              <w:bottom w:val="single" w:color="auto" w:sz="4" w:space="0"/>
              <w:right w:val="single" w:color="auto" w:sz="4" w:space="0"/>
            </w:tcBorders>
            <w:noWrap/>
            <w:vAlign w:val="center"/>
          </w:tcPr>
          <w:p w14:paraId="17EA633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0555DE2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73FCE0B6">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268FCD52">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61904D1C">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502CDD93">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4B8D2869">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7.客户意见1分；</w:t>
            </w:r>
          </w:p>
        </w:tc>
        <w:tc>
          <w:tcPr>
            <w:tcW w:w="783" w:type="dxa"/>
            <w:tcBorders>
              <w:top w:val="nil"/>
              <w:left w:val="nil"/>
              <w:bottom w:val="single" w:color="auto" w:sz="4" w:space="0"/>
              <w:right w:val="single" w:color="auto" w:sz="4" w:space="0"/>
            </w:tcBorders>
            <w:noWrap/>
            <w:vAlign w:val="center"/>
          </w:tcPr>
          <w:p w14:paraId="3875856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03EA937A">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AB2E606">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237E5B59">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79476BCD">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77CD5C8C">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7AC0144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8.签字2分；</w:t>
            </w:r>
          </w:p>
        </w:tc>
        <w:tc>
          <w:tcPr>
            <w:tcW w:w="783" w:type="dxa"/>
            <w:tcBorders>
              <w:top w:val="nil"/>
              <w:left w:val="nil"/>
              <w:bottom w:val="single" w:color="auto" w:sz="4" w:space="0"/>
              <w:right w:val="single" w:color="auto" w:sz="4" w:space="0"/>
            </w:tcBorders>
            <w:noWrap/>
            <w:vAlign w:val="center"/>
          </w:tcPr>
          <w:p w14:paraId="7DAE52AA">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3762029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764FCB04">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73918353">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4F5E83F5">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72AB1F27">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01931C8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9.书写规范和认真度1分。</w:t>
            </w:r>
          </w:p>
        </w:tc>
        <w:tc>
          <w:tcPr>
            <w:tcW w:w="783" w:type="dxa"/>
            <w:tcBorders>
              <w:top w:val="nil"/>
              <w:left w:val="nil"/>
              <w:bottom w:val="single" w:color="auto" w:sz="4" w:space="0"/>
              <w:right w:val="single" w:color="auto" w:sz="4" w:space="0"/>
            </w:tcBorders>
            <w:noWrap/>
            <w:vAlign w:val="center"/>
          </w:tcPr>
          <w:p w14:paraId="19D37E8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4BCBB23E">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B25FD65">
        <w:tblPrEx>
          <w:tblCellMar>
            <w:top w:w="0" w:type="dxa"/>
            <w:left w:w="108" w:type="dxa"/>
            <w:bottom w:w="0" w:type="dxa"/>
            <w:right w:w="108" w:type="dxa"/>
          </w:tblCellMar>
        </w:tblPrEx>
        <w:trPr>
          <w:trHeight w:val="441" w:hRule="atLeast"/>
        </w:trPr>
        <w:tc>
          <w:tcPr>
            <w:tcW w:w="709" w:type="dxa"/>
            <w:vMerge w:val="restart"/>
            <w:tcBorders>
              <w:top w:val="nil"/>
              <w:left w:val="single" w:color="auto" w:sz="4" w:space="0"/>
              <w:bottom w:val="single" w:color="auto" w:sz="4" w:space="0"/>
              <w:right w:val="single" w:color="auto" w:sz="4" w:space="0"/>
            </w:tcBorders>
            <w:noWrap/>
            <w:vAlign w:val="center"/>
          </w:tcPr>
          <w:p w14:paraId="187587F9">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92" w:type="dxa"/>
            <w:vMerge w:val="restart"/>
            <w:tcBorders>
              <w:top w:val="nil"/>
              <w:left w:val="single" w:color="auto" w:sz="4" w:space="0"/>
              <w:bottom w:val="single" w:color="auto" w:sz="4" w:space="0"/>
              <w:right w:val="single" w:color="auto" w:sz="4" w:space="0"/>
            </w:tcBorders>
            <w:noWrap/>
            <w:vAlign w:val="center"/>
          </w:tcPr>
          <w:p w14:paraId="0877E3AF">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叶片</w:t>
            </w:r>
          </w:p>
        </w:tc>
        <w:tc>
          <w:tcPr>
            <w:tcW w:w="851" w:type="dxa"/>
            <w:vMerge w:val="restart"/>
            <w:tcBorders>
              <w:top w:val="nil"/>
              <w:left w:val="single" w:color="auto" w:sz="4" w:space="0"/>
              <w:bottom w:val="single" w:color="auto" w:sz="4" w:space="0"/>
              <w:right w:val="single" w:color="auto" w:sz="4" w:space="0"/>
            </w:tcBorders>
            <w:noWrap/>
            <w:vAlign w:val="center"/>
          </w:tcPr>
          <w:p w14:paraId="58C3DF2C">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24D597FC">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1.无黄叶、无焦叶2分；</w:t>
            </w:r>
          </w:p>
        </w:tc>
        <w:tc>
          <w:tcPr>
            <w:tcW w:w="783" w:type="dxa"/>
            <w:tcBorders>
              <w:top w:val="nil"/>
              <w:left w:val="nil"/>
              <w:bottom w:val="single" w:color="auto" w:sz="4" w:space="0"/>
              <w:right w:val="single" w:color="auto" w:sz="4" w:space="0"/>
            </w:tcBorders>
            <w:noWrap/>
            <w:vAlign w:val="center"/>
          </w:tcPr>
          <w:p w14:paraId="11DF555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7CD4473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DEBC93C">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0960ED3B">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37450A3F">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10725113">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79E9AB1B">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2.无落叶1分；</w:t>
            </w:r>
          </w:p>
        </w:tc>
        <w:tc>
          <w:tcPr>
            <w:tcW w:w="783" w:type="dxa"/>
            <w:tcBorders>
              <w:top w:val="nil"/>
              <w:left w:val="nil"/>
              <w:bottom w:val="single" w:color="auto" w:sz="4" w:space="0"/>
              <w:right w:val="single" w:color="auto" w:sz="4" w:space="0"/>
            </w:tcBorders>
            <w:noWrap/>
            <w:vAlign w:val="center"/>
          </w:tcPr>
          <w:p w14:paraId="1C6B06C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3D1E005A">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F8030D2">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5E34631D">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63A66C3E">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087FEF75">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3EC853E0">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3.修剪后无残叶烂叶2分；</w:t>
            </w:r>
          </w:p>
        </w:tc>
        <w:tc>
          <w:tcPr>
            <w:tcW w:w="783" w:type="dxa"/>
            <w:tcBorders>
              <w:top w:val="nil"/>
              <w:left w:val="nil"/>
              <w:bottom w:val="single" w:color="auto" w:sz="4" w:space="0"/>
              <w:right w:val="single" w:color="auto" w:sz="4" w:space="0"/>
            </w:tcBorders>
            <w:noWrap/>
            <w:vAlign w:val="center"/>
          </w:tcPr>
          <w:p w14:paraId="7E32245C">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04D0E7F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2CE34E7A">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2AE7F363">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43B9DBFE">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6B9F8901">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7579951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4.无尘土、无污渍2分；</w:t>
            </w:r>
          </w:p>
        </w:tc>
        <w:tc>
          <w:tcPr>
            <w:tcW w:w="783" w:type="dxa"/>
            <w:tcBorders>
              <w:top w:val="nil"/>
              <w:left w:val="nil"/>
              <w:bottom w:val="single" w:color="auto" w:sz="4" w:space="0"/>
              <w:right w:val="single" w:color="auto" w:sz="4" w:space="0"/>
            </w:tcBorders>
            <w:noWrap/>
            <w:vAlign w:val="center"/>
          </w:tcPr>
          <w:p w14:paraId="496F683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7F3C630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1FF1321A">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654FBC13">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4F1B769E">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10306943">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4515FA9C">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5.无明显病斑，无明显虫害，无残留害虫3分</w:t>
            </w:r>
          </w:p>
        </w:tc>
        <w:tc>
          <w:tcPr>
            <w:tcW w:w="783" w:type="dxa"/>
            <w:tcBorders>
              <w:top w:val="nil"/>
              <w:left w:val="nil"/>
              <w:bottom w:val="single" w:color="auto" w:sz="4" w:space="0"/>
              <w:right w:val="single" w:color="auto" w:sz="4" w:space="0"/>
            </w:tcBorders>
            <w:noWrap/>
            <w:vAlign w:val="center"/>
          </w:tcPr>
          <w:p w14:paraId="06BEC63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48779E1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D820492">
        <w:tblPrEx>
          <w:tblCellMar>
            <w:top w:w="0" w:type="dxa"/>
            <w:left w:w="108" w:type="dxa"/>
            <w:bottom w:w="0" w:type="dxa"/>
            <w:right w:w="108" w:type="dxa"/>
          </w:tblCellMar>
        </w:tblPrEx>
        <w:trPr>
          <w:trHeight w:val="441" w:hRule="atLeast"/>
        </w:trPr>
        <w:tc>
          <w:tcPr>
            <w:tcW w:w="709" w:type="dxa"/>
            <w:vMerge w:val="restart"/>
            <w:tcBorders>
              <w:top w:val="nil"/>
              <w:left w:val="single" w:color="auto" w:sz="4" w:space="0"/>
              <w:bottom w:val="single" w:color="auto" w:sz="4" w:space="0"/>
              <w:right w:val="single" w:color="auto" w:sz="4" w:space="0"/>
            </w:tcBorders>
            <w:noWrap/>
            <w:vAlign w:val="center"/>
          </w:tcPr>
          <w:p w14:paraId="22E3EB77">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92" w:type="dxa"/>
            <w:vMerge w:val="restart"/>
            <w:tcBorders>
              <w:top w:val="nil"/>
              <w:left w:val="single" w:color="auto" w:sz="4" w:space="0"/>
              <w:bottom w:val="single" w:color="auto" w:sz="4" w:space="0"/>
              <w:right w:val="single" w:color="auto" w:sz="4" w:space="0"/>
            </w:tcBorders>
            <w:noWrap/>
            <w:vAlign w:val="center"/>
          </w:tcPr>
          <w:p w14:paraId="0EAF8C9E">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枝干</w:t>
            </w:r>
          </w:p>
        </w:tc>
        <w:tc>
          <w:tcPr>
            <w:tcW w:w="851" w:type="dxa"/>
            <w:vMerge w:val="restart"/>
            <w:tcBorders>
              <w:top w:val="nil"/>
              <w:left w:val="single" w:color="auto" w:sz="4" w:space="0"/>
              <w:bottom w:val="single" w:color="auto" w:sz="4" w:space="0"/>
              <w:right w:val="single" w:color="auto" w:sz="4" w:space="0"/>
            </w:tcBorders>
            <w:noWrap/>
            <w:vAlign w:val="center"/>
          </w:tcPr>
          <w:p w14:paraId="2D9E7D81">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432D64D6">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1.无枯枝死杈3分；</w:t>
            </w:r>
          </w:p>
        </w:tc>
        <w:tc>
          <w:tcPr>
            <w:tcW w:w="783" w:type="dxa"/>
            <w:tcBorders>
              <w:top w:val="nil"/>
              <w:left w:val="nil"/>
              <w:bottom w:val="single" w:color="auto" w:sz="4" w:space="0"/>
              <w:right w:val="single" w:color="auto" w:sz="4" w:space="0"/>
            </w:tcBorders>
            <w:noWrap/>
            <w:vAlign w:val="center"/>
          </w:tcPr>
          <w:p w14:paraId="040698CE">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37FFB08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78A819D2">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26CA623E">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6D52B778">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39817814">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586740B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2.无蛀干害虫的活卵、活虫2分；</w:t>
            </w:r>
          </w:p>
        </w:tc>
        <w:tc>
          <w:tcPr>
            <w:tcW w:w="783" w:type="dxa"/>
            <w:tcBorders>
              <w:top w:val="nil"/>
              <w:left w:val="nil"/>
              <w:bottom w:val="single" w:color="auto" w:sz="4" w:space="0"/>
              <w:right w:val="single" w:color="auto" w:sz="4" w:space="0"/>
            </w:tcBorders>
            <w:noWrap/>
            <w:vAlign w:val="center"/>
          </w:tcPr>
          <w:p w14:paraId="5EF1FB7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426BFF7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46BBF2F0">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73E49AFB">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1AFC1FFD">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7FB67CE7">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0D4EB139">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3.枝干无残留枯叶等杂物3分；</w:t>
            </w:r>
          </w:p>
        </w:tc>
        <w:tc>
          <w:tcPr>
            <w:tcW w:w="783" w:type="dxa"/>
            <w:tcBorders>
              <w:top w:val="nil"/>
              <w:left w:val="nil"/>
              <w:bottom w:val="single" w:color="auto" w:sz="4" w:space="0"/>
              <w:right w:val="single" w:color="auto" w:sz="4" w:space="0"/>
            </w:tcBorders>
            <w:noWrap/>
            <w:vAlign w:val="center"/>
          </w:tcPr>
          <w:p w14:paraId="485CB253">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318400D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FC241BF">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517CE8BD">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7EFEC704">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20B73A59">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4554E23B">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4.无人为损坏痕迹1分；</w:t>
            </w:r>
          </w:p>
        </w:tc>
        <w:tc>
          <w:tcPr>
            <w:tcW w:w="783" w:type="dxa"/>
            <w:tcBorders>
              <w:top w:val="nil"/>
              <w:left w:val="nil"/>
              <w:bottom w:val="single" w:color="auto" w:sz="4" w:space="0"/>
              <w:right w:val="single" w:color="auto" w:sz="4" w:space="0"/>
            </w:tcBorders>
            <w:noWrap/>
            <w:vAlign w:val="center"/>
          </w:tcPr>
          <w:p w14:paraId="23E7547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58854BC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F5A5245">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34ACE41F">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04FE5E13">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37C5E611">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6B98319A">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5.健壮造型完整1分</w:t>
            </w:r>
          </w:p>
        </w:tc>
        <w:tc>
          <w:tcPr>
            <w:tcW w:w="783" w:type="dxa"/>
            <w:tcBorders>
              <w:top w:val="nil"/>
              <w:left w:val="nil"/>
              <w:bottom w:val="single" w:color="auto" w:sz="4" w:space="0"/>
              <w:right w:val="single" w:color="auto" w:sz="4" w:space="0"/>
            </w:tcBorders>
            <w:noWrap/>
            <w:vAlign w:val="center"/>
          </w:tcPr>
          <w:p w14:paraId="6DBD7853">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0E52BCA9">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39E5413B">
        <w:tblPrEx>
          <w:tblCellMar>
            <w:top w:w="0" w:type="dxa"/>
            <w:left w:w="108" w:type="dxa"/>
            <w:bottom w:w="0" w:type="dxa"/>
            <w:right w:w="108" w:type="dxa"/>
          </w:tblCellMar>
        </w:tblPrEx>
        <w:trPr>
          <w:trHeight w:val="441" w:hRule="atLeast"/>
        </w:trPr>
        <w:tc>
          <w:tcPr>
            <w:tcW w:w="709" w:type="dxa"/>
            <w:vMerge w:val="restart"/>
            <w:tcBorders>
              <w:top w:val="nil"/>
              <w:left w:val="single" w:color="auto" w:sz="4" w:space="0"/>
              <w:bottom w:val="single" w:color="auto" w:sz="4" w:space="0"/>
              <w:right w:val="single" w:color="auto" w:sz="4" w:space="0"/>
            </w:tcBorders>
            <w:noWrap/>
            <w:vAlign w:val="center"/>
          </w:tcPr>
          <w:p w14:paraId="368C3B03">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92" w:type="dxa"/>
            <w:vMerge w:val="restart"/>
            <w:tcBorders>
              <w:top w:val="nil"/>
              <w:left w:val="single" w:color="auto" w:sz="4" w:space="0"/>
              <w:bottom w:val="single" w:color="auto" w:sz="4" w:space="0"/>
              <w:right w:val="single" w:color="auto" w:sz="4" w:space="0"/>
            </w:tcBorders>
            <w:noWrap/>
            <w:vAlign w:val="center"/>
          </w:tcPr>
          <w:p w14:paraId="70115C99">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冠形修整</w:t>
            </w:r>
          </w:p>
        </w:tc>
        <w:tc>
          <w:tcPr>
            <w:tcW w:w="851" w:type="dxa"/>
            <w:vMerge w:val="restart"/>
            <w:tcBorders>
              <w:top w:val="nil"/>
              <w:left w:val="single" w:color="auto" w:sz="4" w:space="0"/>
              <w:bottom w:val="single" w:color="auto" w:sz="4" w:space="0"/>
              <w:right w:val="single" w:color="auto" w:sz="4" w:space="0"/>
            </w:tcBorders>
            <w:noWrap/>
            <w:vAlign w:val="center"/>
          </w:tcPr>
          <w:p w14:paraId="1C8A769F">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62390FF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1.整体造型完整优美3分；</w:t>
            </w:r>
          </w:p>
        </w:tc>
        <w:tc>
          <w:tcPr>
            <w:tcW w:w="783" w:type="dxa"/>
            <w:tcBorders>
              <w:top w:val="nil"/>
              <w:left w:val="nil"/>
              <w:bottom w:val="single" w:color="auto" w:sz="4" w:space="0"/>
              <w:right w:val="single" w:color="auto" w:sz="4" w:space="0"/>
            </w:tcBorders>
            <w:noWrap/>
            <w:vAlign w:val="center"/>
          </w:tcPr>
          <w:p w14:paraId="2190B6A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31221AF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A1C2F96">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5BAD182C">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21577253">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2CDD60EB">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49C8E836">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2.分枝点合适1分；</w:t>
            </w:r>
          </w:p>
        </w:tc>
        <w:tc>
          <w:tcPr>
            <w:tcW w:w="783" w:type="dxa"/>
            <w:tcBorders>
              <w:top w:val="nil"/>
              <w:left w:val="nil"/>
              <w:bottom w:val="single" w:color="auto" w:sz="4" w:space="0"/>
              <w:right w:val="single" w:color="auto" w:sz="4" w:space="0"/>
            </w:tcBorders>
            <w:noWrap/>
            <w:vAlign w:val="center"/>
          </w:tcPr>
          <w:p w14:paraId="0DAEAC8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6B448A7A">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51A2891">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0100C254">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75FA9013">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188CCE02">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4A0C231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3.主侧枝分布匀称、数量适宜、内膛不乱3分；</w:t>
            </w:r>
          </w:p>
        </w:tc>
        <w:tc>
          <w:tcPr>
            <w:tcW w:w="783" w:type="dxa"/>
            <w:tcBorders>
              <w:top w:val="nil"/>
              <w:left w:val="nil"/>
              <w:bottom w:val="single" w:color="auto" w:sz="4" w:space="0"/>
              <w:right w:val="single" w:color="auto" w:sz="4" w:space="0"/>
            </w:tcBorders>
            <w:noWrap/>
            <w:vAlign w:val="center"/>
          </w:tcPr>
          <w:p w14:paraId="10E7CF30">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65BE88D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74F4F7A9">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06EAD3BA">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36FCC97F">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0E56A4FF">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252C094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4.无徒长和偏向3分</w:t>
            </w:r>
          </w:p>
        </w:tc>
        <w:tc>
          <w:tcPr>
            <w:tcW w:w="783" w:type="dxa"/>
            <w:tcBorders>
              <w:top w:val="nil"/>
              <w:left w:val="nil"/>
              <w:bottom w:val="single" w:color="auto" w:sz="4" w:space="0"/>
              <w:right w:val="single" w:color="auto" w:sz="4" w:space="0"/>
            </w:tcBorders>
            <w:noWrap/>
            <w:vAlign w:val="center"/>
          </w:tcPr>
          <w:p w14:paraId="0232DED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0E4789C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6CC7E0A">
        <w:tblPrEx>
          <w:tblCellMar>
            <w:top w:w="0" w:type="dxa"/>
            <w:left w:w="108" w:type="dxa"/>
            <w:bottom w:w="0" w:type="dxa"/>
            <w:right w:w="108" w:type="dxa"/>
          </w:tblCellMar>
        </w:tblPrEx>
        <w:trPr>
          <w:trHeight w:val="441" w:hRule="atLeast"/>
        </w:trPr>
        <w:tc>
          <w:tcPr>
            <w:tcW w:w="709" w:type="dxa"/>
            <w:vMerge w:val="restart"/>
            <w:tcBorders>
              <w:top w:val="nil"/>
              <w:left w:val="single" w:color="auto" w:sz="4" w:space="0"/>
              <w:bottom w:val="single" w:color="auto" w:sz="4" w:space="0"/>
              <w:right w:val="single" w:color="auto" w:sz="4" w:space="0"/>
            </w:tcBorders>
            <w:noWrap/>
            <w:vAlign w:val="center"/>
          </w:tcPr>
          <w:p w14:paraId="1B9362D0">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992" w:type="dxa"/>
            <w:vMerge w:val="restart"/>
            <w:tcBorders>
              <w:top w:val="nil"/>
              <w:left w:val="single" w:color="auto" w:sz="4" w:space="0"/>
              <w:bottom w:val="single" w:color="auto" w:sz="4" w:space="0"/>
              <w:right w:val="single" w:color="auto" w:sz="4" w:space="0"/>
            </w:tcBorders>
            <w:noWrap/>
            <w:vAlign w:val="center"/>
          </w:tcPr>
          <w:p w14:paraId="5278E2FC">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盆土</w:t>
            </w:r>
          </w:p>
        </w:tc>
        <w:tc>
          <w:tcPr>
            <w:tcW w:w="851" w:type="dxa"/>
            <w:vMerge w:val="restart"/>
            <w:tcBorders>
              <w:top w:val="nil"/>
              <w:left w:val="single" w:color="auto" w:sz="4" w:space="0"/>
              <w:bottom w:val="single" w:color="auto" w:sz="4" w:space="0"/>
              <w:right w:val="single" w:color="auto" w:sz="4" w:space="0"/>
            </w:tcBorders>
            <w:noWrap/>
            <w:vAlign w:val="center"/>
          </w:tcPr>
          <w:p w14:paraId="7519309C">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70606A0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1.不同植物正常浇水保证干湿合理3 分；</w:t>
            </w:r>
          </w:p>
        </w:tc>
        <w:tc>
          <w:tcPr>
            <w:tcW w:w="783" w:type="dxa"/>
            <w:tcBorders>
              <w:top w:val="nil"/>
              <w:left w:val="nil"/>
              <w:bottom w:val="single" w:color="auto" w:sz="4" w:space="0"/>
              <w:right w:val="single" w:color="auto" w:sz="4" w:space="0"/>
            </w:tcBorders>
            <w:noWrap/>
            <w:vAlign w:val="center"/>
          </w:tcPr>
          <w:p w14:paraId="3CDBF7C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70E32C33">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3F494992">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1333545C">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7940E74F">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29572D19">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74B0080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2.无臭味、无异味2 分；</w:t>
            </w:r>
          </w:p>
        </w:tc>
        <w:tc>
          <w:tcPr>
            <w:tcW w:w="783" w:type="dxa"/>
            <w:tcBorders>
              <w:top w:val="nil"/>
              <w:left w:val="nil"/>
              <w:bottom w:val="single" w:color="auto" w:sz="4" w:space="0"/>
              <w:right w:val="single" w:color="auto" w:sz="4" w:space="0"/>
            </w:tcBorders>
            <w:noWrap/>
            <w:vAlign w:val="center"/>
          </w:tcPr>
          <w:p w14:paraId="177ABB0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179D834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023E087">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173A64D0">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46E48B41">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5BCC87CC">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3375A65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3.无害虫活卵和活虫2 分；</w:t>
            </w:r>
          </w:p>
        </w:tc>
        <w:tc>
          <w:tcPr>
            <w:tcW w:w="783" w:type="dxa"/>
            <w:tcBorders>
              <w:top w:val="nil"/>
              <w:left w:val="nil"/>
              <w:bottom w:val="single" w:color="auto" w:sz="4" w:space="0"/>
              <w:right w:val="single" w:color="auto" w:sz="4" w:space="0"/>
            </w:tcBorders>
            <w:noWrap/>
            <w:vAlign w:val="center"/>
          </w:tcPr>
          <w:p w14:paraId="7A749153">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3770AD3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E7C60E7">
        <w:tblPrEx>
          <w:tblCellMar>
            <w:top w:w="0" w:type="dxa"/>
            <w:left w:w="108" w:type="dxa"/>
            <w:bottom w:w="0" w:type="dxa"/>
            <w:right w:w="108" w:type="dxa"/>
          </w:tblCellMar>
        </w:tblPrEx>
        <w:trPr>
          <w:trHeight w:val="441"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2A5F521D">
            <w:pPr>
              <w:widowControl/>
              <w:spacing w:line="360" w:lineRule="auto"/>
              <w:jc w:val="left"/>
              <w:rPr>
                <w:rFonts w:ascii="宋体" w:hAnsi="宋体" w:cs="宋体"/>
                <w:color w:val="000000"/>
                <w:kern w:val="0"/>
                <w:sz w:val="22"/>
                <w:szCs w:val="22"/>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2E04B72B">
            <w:pPr>
              <w:widowControl/>
              <w:spacing w:line="360" w:lineRule="auto"/>
              <w:jc w:val="left"/>
              <w:rPr>
                <w:rFonts w:ascii="宋体" w:hAnsi="宋体" w:cs="宋体"/>
                <w:color w:val="000000"/>
                <w:kern w:val="0"/>
                <w:sz w:val="22"/>
                <w:szCs w:val="22"/>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AA9DC9B">
            <w:pPr>
              <w:widowControl/>
              <w:spacing w:line="360" w:lineRule="auto"/>
              <w:jc w:val="left"/>
              <w:rPr>
                <w:rFonts w:ascii="宋体" w:hAnsi="宋体" w:cs="宋体"/>
                <w:color w:val="000000"/>
                <w:kern w:val="0"/>
                <w:sz w:val="22"/>
                <w:szCs w:val="22"/>
              </w:rPr>
            </w:pPr>
          </w:p>
        </w:tc>
        <w:tc>
          <w:tcPr>
            <w:tcW w:w="4927" w:type="dxa"/>
            <w:tcBorders>
              <w:top w:val="single" w:color="auto" w:sz="4" w:space="0"/>
              <w:left w:val="single" w:color="auto" w:sz="4" w:space="0"/>
              <w:bottom w:val="single" w:color="auto" w:sz="4" w:space="0"/>
              <w:right w:val="single" w:color="auto" w:sz="4" w:space="0"/>
            </w:tcBorders>
            <w:noWrap/>
            <w:vAlign w:val="center"/>
          </w:tcPr>
          <w:p w14:paraId="639EC826">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4.无茶叶、烟头、枯枝烂叶等杂物2 分；</w:t>
            </w:r>
          </w:p>
        </w:tc>
        <w:tc>
          <w:tcPr>
            <w:tcW w:w="783" w:type="dxa"/>
            <w:tcBorders>
              <w:top w:val="single" w:color="auto" w:sz="4" w:space="0"/>
              <w:left w:val="single" w:color="auto" w:sz="4" w:space="0"/>
              <w:bottom w:val="single" w:color="auto" w:sz="4" w:space="0"/>
              <w:right w:val="single" w:color="auto" w:sz="4" w:space="0"/>
            </w:tcBorders>
            <w:noWrap/>
            <w:vAlign w:val="center"/>
          </w:tcPr>
          <w:p w14:paraId="725E2930">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single" w:color="auto" w:sz="4" w:space="0"/>
              <w:left w:val="single" w:color="auto" w:sz="4" w:space="0"/>
              <w:bottom w:val="single" w:color="auto" w:sz="4" w:space="0"/>
              <w:right w:val="single" w:color="auto" w:sz="4" w:space="0"/>
            </w:tcBorders>
            <w:noWrap/>
            <w:vAlign w:val="center"/>
          </w:tcPr>
          <w:p w14:paraId="3D82F460">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84142E1">
        <w:tblPrEx>
          <w:tblCellMar>
            <w:top w:w="0" w:type="dxa"/>
            <w:left w:w="108" w:type="dxa"/>
            <w:bottom w:w="0" w:type="dxa"/>
            <w:right w:w="108" w:type="dxa"/>
          </w:tblCellMar>
        </w:tblPrEx>
        <w:trPr>
          <w:trHeight w:val="441"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72981677">
            <w:pPr>
              <w:widowControl/>
              <w:spacing w:line="360" w:lineRule="auto"/>
              <w:jc w:val="left"/>
              <w:rPr>
                <w:rFonts w:ascii="宋体" w:hAnsi="宋体" w:cs="宋体"/>
                <w:color w:val="000000"/>
                <w:kern w:val="0"/>
                <w:sz w:val="22"/>
                <w:szCs w:val="22"/>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5A7864C2">
            <w:pPr>
              <w:widowControl/>
              <w:spacing w:line="360" w:lineRule="auto"/>
              <w:jc w:val="left"/>
              <w:rPr>
                <w:rFonts w:ascii="宋体" w:hAnsi="宋体" w:cs="宋体"/>
                <w:color w:val="000000"/>
                <w:kern w:val="0"/>
                <w:sz w:val="22"/>
                <w:szCs w:val="22"/>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23C61E06">
            <w:pPr>
              <w:widowControl/>
              <w:spacing w:line="360" w:lineRule="auto"/>
              <w:jc w:val="left"/>
              <w:rPr>
                <w:rFonts w:ascii="宋体" w:hAnsi="宋体" w:cs="宋体"/>
                <w:color w:val="000000"/>
                <w:kern w:val="0"/>
                <w:sz w:val="22"/>
                <w:szCs w:val="22"/>
              </w:rPr>
            </w:pPr>
          </w:p>
        </w:tc>
        <w:tc>
          <w:tcPr>
            <w:tcW w:w="4927" w:type="dxa"/>
            <w:tcBorders>
              <w:top w:val="single" w:color="auto" w:sz="4" w:space="0"/>
              <w:left w:val="nil"/>
              <w:bottom w:val="single" w:color="auto" w:sz="4" w:space="0"/>
              <w:right w:val="single" w:color="auto" w:sz="4" w:space="0"/>
            </w:tcBorders>
            <w:noWrap/>
            <w:vAlign w:val="center"/>
          </w:tcPr>
          <w:p w14:paraId="0B7D5716">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5.盆土疏松、无板结；石子陶粒等遮掩1 分</w:t>
            </w:r>
          </w:p>
        </w:tc>
        <w:tc>
          <w:tcPr>
            <w:tcW w:w="783" w:type="dxa"/>
            <w:tcBorders>
              <w:top w:val="single" w:color="auto" w:sz="4" w:space="0"/>
              <w:left w:val="nil"/>
              <w:bottom w:val="single" w:color="auto" w:sz="4" w:space="0"/>
              <w:right w:val="single" w:color="auto" w:sz="4" w:space="0"/>
            </w:tcBorders>
            <w:noWrap/>
            <w:vAlign w:val="center"/>
          </w:tcPr>
          <w:p w14:paraId="598EA3E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single" w:color="auto" w:sz="4" w:space="0"/>
              <w:left w:val="nil"/>
              <w:bottom w:val="single" w:color="auto" w:sz="4" w:space="0"/>
              <w:right w:val="single" w:color="auto" w:sz="4" w:space="0"/>
            </w:tcBorders>
            <w:noWrap/>
            <w:vAlign w:val="center"/>
          </w:tcPr>
          <w:p w14:paraId="3094DC50">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3AB98A1">
        <w:tblPrEx>
          <w:tblCellMar>
            <w:top w:w="0" w:type="dxa"/>
            <w:left w:w="108" w:type="dxa"/>
            <w:bottom w:w="0" w:type="dxa"/>
            <w:right w:w="108" w:type="dxa"/>
          </w:tblCellMar>
        </w:tblPrEx>
        <w:trPr>
          <w:trHeight w:val="441" w:hRule="atLeast"/>
        </w:trPr>
        <w:tc>
          <w:tcPr>
            <w:tcW w:w="709" w:type="dxa"/>
            <w:vMerge w:val="restart"/>
            <w:tcBorders>
              <w:top w:val="single" w:color="auto" w:sz="4" w:space="0"/>
              <w:left w:val="single" w:color="auto" w:sz="4" w:space="0"/>
              <w:bottom w:val="single" w:color="auto" w:sz="4" w:space="0"/>
              <w:right w:val="single" w:color="auto" w:sz="4" w:space="0"/>
            </w:tcBorders>
            <w:noWrap/>
            <w:vAlign w:val="center"/>
          </w:tcPr>
          <w:p w14:paraId="2539C4CF">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992" w:type="dxa"/>
            <w:vMerge w:val="restart"/>
            <w:tcBorders>
              <w:top w:val="single" w:color="auto" w:sz="4" w:space="0"/>
              <w:left w:val="single" w:color="auto" w:sz="4" w:space="0"/>
              <w:bottom w:val="single" w:color="auto" w:sz="4" w:space="0"/>
              <w:right w:val="single" w:color="auto" w:sz="4" w:space="0"/>
            </w:tcBorders>
            <w:noWrap/>
            <w:vAlign w:val="center"/>
          </w:tcPr>
          <w:p w14:paraId="68BEAA6A">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盆具</w:t>
            </w:r>
          </w:p>
        </w:tc>
        <w:tc>
          <w:tcPr>
            <w:tcW w:w="851" w:type="dxa"/>
            <w:vMerge w:val="restart"/>
            <w:tcBorders>
              <w:top w:val="single" w:color="auto" w:sz="4" w:space="0"/>
              <w:left w:val="single" w:color="auto" w:sz="4" w:space="0"/>
              <w:bottom w:val="single" w:color="auto" w:sz="4" w:space="0"/>
              <w:right w:val="single" w:color="auto" w:sz="4" w:space="0"/>
            </w:tcBorders>
            <w:noWrap/>
            <w:vAlign w:val="center"/>
          </w:tcPr>
          <w:p w14:paraId="300479F3">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single" w:color="auto" w:sz="4" w:space="0"/>
              <w:left w:val="single" w:color="auto" w:sz="4" w:space="0"/>
              <w:bottom w:val="single" w:color="auto" w:sz="4" w:space="0"/>
              <w:right w:val="single" w:color="auto" w:sz="4" w:space="0"/>
            </w:tcBorders>
            <w:noWrap/>
            <w:vAlign w:val="center"/>
          </w:tcPr>
          <w:p w14:paraId="49D53977">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1.花盆套盆干净、完整无残缺2分；</w:t>
            </w:r>
          </w:p>
        </w:tc>
        <w:tc>
          <w:tcPr>
            <w:tcW w:w="783" w:type="dxa"/>
            <w:tcBorders>
              <w:top w:val="single" w:color="auto" w:sz="4" w:space="0"/>
              <w:left w:val="single" w:color="auto" w:sz="4" w:space="0"/>
              <w:bottom w:val="single" w:color="auto" w:sz="4" w:space="0"/>
              <w:right w:val="single" w:color="auto" w:sz="4" w:space="0"/>
            </w:tcBorders>
            <w:noWrap/>
            <w:vAlign w:val="center"/>
          </w:tcPr>
          <w:p w14:paraId="492339A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single" w:color="auto" w:sz="4" w:space="0"/>
              <w:left w:val="single" w:color="auto" w:sz="4" w:space="0"/>
              <w:bottom w:val="single" w:color="auto" w:sz="4" w:space="0"/>
              <w:right w:val="single" w:color="auto" w:sz="4" w:space="0"/>
            </w:tcBorders>
            <w:noWrap/>
            <w:vAlign w:val="center"/>
          </w:tcPr>
          <w:p w14:paraId="6ADA7CB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349BDFF0">
        <w:tblPrEx>
          <w:tblCellMar>
            <w:top w:w="0" w:type="dxa"/>
            <w:left w:w="108" w:type="dxa"/>
            <w:bottom w:w="0" w:type="dxa"/>
            <w:right w:w="108" w:type="dxa"/>
          </w:tblCellMar>
        </w:tblPrEx>
        <w:trPr>
          <w:trHeight w:val="441"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2ACE17C1">
            <w:pPr>
              <w:widowControl/>
              <w:spacing w:line="360" w:lineRule="auto"/>
              <w:jc w:val="left"/>
              <w:rPr>
                <w:rFonts w:ascii="宋体" w:hAnsi="宋体" w:cs="宋体"/>
                <w:color w:val="000000"/>
                <w:kern w:val="0"/>
                <w:sz w:val="22"/>
                <w:szCs w:val="22"/>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52430A7E">
            <w:pPr>
              <w:widowControl/>
              <w:spacing w:line="360" w:lineRule="auto"/>
              <w:jc w:val="left"/>
              <w:rPr>
                <w:rFonts w:ascii="宋体" w:hAnsi="宋体" w:cs="宋体"/>
                <w:color w:val="000000"/>
                <w:kern w:val="0"/>
                <w:sz w:val="22"/>
                <w:szCs w:val="22"/>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E347ACC">
            <w:pPr>
              <w:widowControl/>
              <w:spacing w:line="360" w:lineRule="auto"/>
              <w:jc w:val="left"/>
              <w:rPr>
                <w:rFonts w:ascii="宋体" w:hAnsi="宋体" w:cs="宋体"/>
                <w:color w:val="000000"/>
                <w:kern w:val="0"/>
                <w:sz w:val="22"/>
                <w:szCs w:val="22"/>
              </w:rPr>
            </w:pPr>
          </w:p>
        </w:tc>
        <w:tc>
          <w:tcPr>
            <w:tcW w:w="4927" w:type="dxa"/>
            <w:tcBorders>
              <w:top w:val="single" w:color="auto" w:sz="4" w:space="0"/>
              <w:left w:val="nil"/>
              <w:bottom w:val="single" w:color="auto" w:sz="4" w:space="0"/>
              <w:right w:val="single" w:color="auto" w:sz="4" w:space="0"/>
            </w:tcBorders>
            <w:noWrap/>
            <w:vAlign w:val="center"/>
          </w:tcPr>
          <w:p w14:paraId="191853B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2.无泥垢、无浮尘2分；</w:t>
            </w:r>
          </w:p>
        </w:tc>
        <w:tc>
          <w:tcPr>
            <w:tcW w:w="783" w:type="dxa"/>
            <w:tcBorders>
              <w:top w:val="single" w:color="auto" w:sz="4" w:space="0"/>
              <w:left w:val="nil"/>
              <w:bottom w:val="single" w:color="auto" w:sz="4" w:space="0"/>
              <w:right w:val="single" w:color="auto" w:sz="4" w:space="0"/>
            </w:tcBorders>
            <w:noWrap/>
            <w:vAlign w:val="center"/>
          </w:tcPr>
          <w:p w14:paraId="2B50C876">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single" w:color="auto" w:sz="4" w:space="0"/>
              <w:left w:val="nil"/>
              <w:bottom w:val="single" w:color="auto" w:sz="4" w:space="0"/>
              <w:right w:val="single" w:color="auto" w:sz="4" w:space="0"/>
            </w:tcBorders>
            <w:noWrap/>
            <w:vAlign w:val="center"/>
          </w:tcPr>
          <w:p w14:paraId="441DCBE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4DA67BF">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158A8553">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4E47188C">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57358AEF">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3661A186">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3.花盆底部无水垢2分；</w:t>
            </w:r>
          </w:p>
        </w:tc>
        <w:tc>
          <w:tcPr>
            <w:tcW w:w="783" w:type="dxa"/>
            <w:tcBorders>
              <w:top w:val="nil"/>
              <w:left w:val="nil"/>
              <w:bottom w:val="single" w:color="auto" w:sz="4" w:space="0"/>
              <w:right w:val="single" w:color="auto" w:sz="4" w:space="0"/>
            </w:tcBorders>
            <w:noWrap/>
            <w:vAlign w:val="center"/>
          </w:tcPr>
          <w:p w14:paraId="4D37C44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21AC3A8E">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77806F6A">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1BB9110B">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732EE76E">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304B7667">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15EC2EF9">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4.无明显套盆中塑料盆沿残缺外露2分；</w:t>
            </w:r>
          </w:p>
        </w:tc>
        <w:tc>
          <w:tcPr>
            <w:tcW w:w="783" w:type="dxa"/>
            <w:tcBorders>
              <w:top w:val="nil"/>
              <w:left w:val="nil"/>
              <w:bottom w:val="single" w:color="auto" w:sz="4" w:space="0"/>
              <w:right w:val="single" w:color="auto" w:sz="4" w:space="0"/>
            </w:tcBorders>
            <w:noWrap/>
            <w:vAlign w:val="center"/>
          </w:tcPr>
          <w:p w14:paraId="300C012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7319885C">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24E8F576">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2E093F10">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2063651C">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19586B88">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5F6743E8">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5.底部与接触面必须有托盘或者保护处理2分</w:t>
            </w:r>
          </w:p>
        </w:tc>
        <w:tc>
          <w:tcPr>
            <w:tcW w:w="783" w:type="dxa"/>
            <w:tcBorders>
              <w:top w:val="nil"/>
              <w:left w:val="nil"/>
              <w:bottom w:val="single" w:color="auto" w:sz="4" w:space="0"/>
              <w:right w:val="single" w:color="auto" w:sz="4" w:space="0"/>
            </w:tcBorders>
            <w:noWrap/>
            <w:vAlign w:val="center"/>
          </w:tcPr>
          <w:p w14:paraId="624AF6AE">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2D4FED2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3D920C1">
        <w:tblPrEx>
          <w:tblCellMar>
            <w:top w:w="0" w:type="dxa"/>
            <w:left w:w="108" w:type="dxa"/>
            <w:bottom w:w="0" w:type="dxa"/>
            <w:right w:w="108" w:type="dxa"/>
          </w:tblCellMar>
        </w:tblPrEx>
        <w:trPr>
          <w:trHeight w:val="280" w:hRule="atLeast"/>
        </w:trPr>
        <w:tc>
          <w:tcPr>
            <w:tcW w:w="709" w:type="dxa"/>
            <w:tcBorders>
              <w:top w:val="nil"/>
              <w:left w:val="single" w:color="auto" w:sz="4" w:space="0"/>
              <w:bottom w:val="single" w:color="auto" w:sz="4" w:space="0"/>
              <w:right w:val="single" w:color="auto" w:sz="4" w:space="0"/>
            </w:tcBorders>
            <w:noWrap/>
            <w:vAlign w:val="center"/>
          </w:tcPr>
          <w:p w14:paraId="7F5A22EE">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992" w:type="dxa"/>
            <w:tcBorders>
              <w:top w:val="nil"/>
              <w:left w:val="nil"/>
              <w:bottom w:val="single" w:color="auto" w:sz="4" w:space="0"/>
              <w:right w:val="single" w:color="auto" w:sz="4" w:space="0"/>
            </w:tcBorders>
            <w:noWrap/>
            <w:vAlign w:val="center"/>
          </w:tcPr>
          <w:p w14:paraId="464CA231">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投诉</w:t>
            </w:r>
          </w:p>
        </w:tc>
        <w:tc>
          <w:tcPr>
            <w:tcW w:w="851" w:type="dxa"/>
            <w:tcBorders>
              <w:top w:val="nil"/>
              <w:left w:val="nil"/>
              <w:bottom w:val="single" w:color="auto" w:sz="4" w:space="0"/>
              <w:right w:val="single" w:color="auto" w:sz="4" w:space="0"/>
            </w:tcBorders>
            <w:noWrap/>
            <w:vAlign w:val="center"/>
          </w:tcPr>
          <w:p w14:paraId="5F34A8D1">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3B9FFF07">
            <w:pPr>
              <w:widowControl/>
              <w:spacing w:line="360" w:lineRule="auto"/>
              <w:rPr>
                <w:rFonts w:ascii="宋体" w:hAnsi="宋体" w:cs="宋体"/>
                <w:color w:val="000000"/>
                <w:kern w:val="0"/>
                <w:sz w:val="22"/>
                <w:szCs w:val="22"/>
              </w:rPr>
            </w:pPr>
            <w:r>
              <w:rPr>
                <w:rFonts w:hint="eastAsia" w:ascii="宋体" w:hAnsi="宋体" w:cs="宋体"/>
                <w:color w:val="000000"/>
                <w:kern w:val="0"/>
                <w:sz w:val="22"/>
                <w:szCs w:val="22"/>
              </w:rPr>
              <w:t>接到各科室投诉核实无误10 分</w:t>
            </w:r>
          </w:p>
        </w:tc>
        <w:tc>
          <w:tcPr>
            <w:tcW w:w="783" w:type="dxa"/>
            <w:tcBorders>
              <w:top w:val="nil"/>
              <w:left w:val="nil"/>
              <w:bottom w:val="single" w:color="auto" w:sz="4" w:space="0"/>
              <w:right w:val="single" w:color="auto" w:sz="4" w:space="0"/>
            </w:tcBorders>
            <w:noWrap/>
            <w:vAlign w:val="center"/>
          </w:tcPr>
          <w:p w14:paraId="6625D44E">
            <w:pPr>
              <w:widowControl/>
              <w:spacing w:line="360" w:lineRule="auto"/>
              <w:jc w:val="center"/>
              <w:rPr>
                <w:rFonts w:ascii="宋体" w:hAnsi="宋体" w:cs="宋体"/>
                <w:color w:val="000000"/>
                <w:kern w:val="0"/>
                <w:sz w:val="22"/>
                <w:szCs w:val="22"/>
              </w:rPr>
            </w:pPr>
          </w:p>
        </w:tc>
        <w:tc>
          <w:tcPr>
            <w:tcW w:w="780" w:type="dxa"/>
            <w:tcBorders>
              <w:top w:val="nil"/>
              <w:left w:val="nil"/>
              <w:bottom w:val="single" w:color="auto" w:sz="4" w:space="0"/>
              <w:right w:val="single" w:color="auto" w:sz="4" w:space="0"/>
            </w:tcBorders>
            <w:noWrap/>
            <w:vAlign w:val="center"/>
          </w:tcPr>
          <w:p w14:paraId="7D3F48DB">
            <w:pPr>
              <w:widowControl/>
              <w:spacing w:line="360" w:lineRule="auto"/>
              <w:jc w:val="center"/>
              <w:rPr>
                <w:rFonts w:ascii="宋体" w:hAnsi="宋体" w:cs="宋体"/>
                <w:color w:val="000000"/>
                <w:kern w:val="0"/>
                <w:sz w:val="22"/>
                <w:szCs w:val="22"/>
              </w:rPr>
            </w:pPr>
          </w:p>
        </w:tc>
      </w:tr>
      <w:tr w14:paraId="34E17175">
        <w:tblPrEx>
          <w:tblCellMar>
            <w:top w:w="0" w:type="dxa"/>
            <w:left w:w="108" w:type="dxa"/>
            <w:bottom w:w="0" w:type="dxa"/>
            <w:right w:w="108" w:type="dxa"/>
          </w:tblCellMar>
        </w:tblPrEx>
        <w:trPr>
          <w:trHeight w:val="441" w:hRule="atLeast"/>
        </w:trPr>
        <w:tc>
          <w:tcPr>
            <w:tcW w:w="709" w:type="dxa"/>
            <w:vMerge w:val="restart"/>
            <w:tcBorders>
              <w:top w:val="nil"/>
              <w:left w:val="single" w:color="auto" w:sz="4" w:space="0"/>
              <w:bottom w:val="single" w:color="auto" w:sz="4" w:space="0"/>
              <w:right w:val="single" w:color="auto" w:sz="4" w:space="0"/>
            </w:tcBorders>
            <w:noWrap/>
            <w:vAlign w:val="center"/>
          </w:tcPr>
          <w:p w14:paraId="19ABD1EA">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992" w:type="dxa"/>
            <w:vMerge w:val="restart"/>
            <w:tcBorders>
              <w:top w:val="nil"/>
              <w:left w:val="single" w:color="auto" w:sz="4" w:space="0"/>
              <w:bottom w:val="single" w:color="auto" w:sz="4" w:space="0"/>
              <w:right w:val="single" w:color="auto" w:sz="4" w:space="0"/>
            </w:tcBorders>
            <w:noWrap/>
            <w:vAlign w:val="center"/>
          </w:tcPr>
          <w:p w14:paraId="3883B865">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工作面</w:t>
            </w:r>
          </w:p>
        </w:tc>
        <w:tc>
          <w:tcPr>
            <w:tcW w:w="851" w:type="dxa"/>
            <w:vMerge w:val="restart"/>
            <w:tcBorders>
              <w:top w:val="nil"/>
              <w:left w:val="single" w:color="auto" w:sz="4" w:space="0"/>
              <w:bottom w:val="single" w:color="auto" w:sz="4" w:space="0"/>
              <w:right w:val="single" w:color="auto" w:sz="4" w:space="0"/>
            </w:tcBorders>
            <w:noWrap/>
            <w:vAlign w:val="center"/>
          </w:tcPr>
          <w:p w14:paraId="5679FA95">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696DB41A">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1.养护现场工作面无水渍3 分；</w:t>
            </w:r>
          </w:p>
        </w:tc>
        <w:tc>
          <w:tcPr>
            <w:tcW w:w="783" w:type="dxa"/>
            <w:tcBorders>
              <w:top w:val="nil"/>
              <w:left w:val="nil"/>
              <w:bottom w:val="single" w:color="auto" w:sz="4" w:space="0"/>
              <w:right w:val="single" w:color="auto" w:sz="4" w:space="0"/>
            </w:tcBorders>
            <w:noWrap/>
            <w:vAlign w:val="center"/>
          </w:tcPr>
          <w:p w14:paraId="481B966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535B2DE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7BB054E">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2CA03CB7">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41B8AC7C">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5D10E09F">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1F8E597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2.无泥垢4 分；</w:t>
            </w:r>
          </w:p>
        </w:tc>
        <w:tc>
          <w:tcPr>
            <w:tcW w:w="783" w:type="dxa"/>
            <w:tcBorders>
              <w:top w:val="nil"/>
              <w:left w:val="nil"/>
              <w:bottom w:val="single" w:color="auto" w:sz="4" w:space="0"/>
              <w:right w:val="single" w:color="auto" w:sz="4" w:space="0"/>
            </w:tcBorders>
            <w:noWrap/>
            <w:vAlign w:val="center"/>
          </w:tcPr>
          <w:p w14:paraId="08031C6B">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2AB29CDA">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2B156A00">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3DE7D3AD">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5DB8C834">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66B804EA">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2DB54AF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3.无落叶等垃圾3 分</w:t>
            </w:r>
          </w:p>
        </w:tc>
        <w:tc>
          <w:tcPr>
            <w:tcW w:w="783" w:type="dxa"/>
            <w:tcBorders>
              <w:top w:val="nil"/>
              <w:left w:val="nil"/>
              <w:bottom w:val="single" w:color="auto" w:sz="4" w:space="0"/>
              <w:right w:val="single" w:color="auto" w:sz="4" w:space="0"/>
            </w:tcBorders>
            <w:noWrap/>
            <w:vAlign w:val="center"/>
          </w:tcPr>
          <w:p w14:paraId="2F96DF9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4C6F7C85">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39C27845">
        <w:tblPrEx>
          <w:tblCellMar>
            <w:top w:w="0" w:type="dxa"/>
            <w:left w:w="108" w:type="dxa"/>
            <w:bottom w:w="0" w:type="dxa"/>
            <w:right w:w="108" w:type="dxa"/>
          </w:tblCellMar>
        </w:tblPrEx>
        <w:trPr>
          <w:trHeight w:val="441" w:hRule="atLeast"/>
        </w:trPr>
        <w:tc>
          <w:tcPr>
            <w:tcW w:w="709" w:type="dxa"/>
            <w:vMerge w:val="restart"/>
            <w:tcBorders>
              <w:top w:val="nil"/>
              <w:left w:val="single" w:color="auto" w:sz="4" w:space="0"/>
              <w:bottom w:val="single" w:color="auto" w:sz="4" w:space="0"/>
              <w:right w:val="single" w:color="auto" w:sz="4" w:space="0"/>
            </w:tcBorders>
            <w:noWrap/>
            <w:vAlign w:val="center"/>
          </w:tcPr>
          <w:p w14:paraId="192131F5">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992" w:type="dxa"/>
            <w:vMerge w:val="restart"/>
            <w:tcBorders>
              <w:top w:val="nil"/>
              <w:left w:val="single" w:color="auto" w:sz="4" w:space="0"/>
              <w:bottom w:val="single" w:color="auto" w:sz="4" w:space="0"/>
              <w:right w:val="single" w:color="auto" w:sz="4" w:space="0"/>
            </w:tcBorders>
            <w:noWrap w:val="0"/>
            <w:vAlign w:val="center"/>
          </w:tcPr>
          <w:p w14:paraId="17FD63AF">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着装和工具配带</w:t>
            </w:r>
          </w:p>
        </w:tc>
        <w:tc>
          <w:tcPr>
            <w:tcW w:w="851" w:type="dxa"/>
            <w:vMerge w:val="restart"/>
            <w:tcBorders>
              <w:top w:val="nil"/>
              <w:left w:val="single" w:color="auto" w:sz="4" w:space="0"/>
              <w:bottom w:val="single" w:color="auto" w:sz="4" w:space="0"/>
              <w:right w:val="single" w:color="auto" w:sz="4" w:space="0"/>
            </w:tcBorders>
            <w:noWrap/>
            <w:vAlign w:val="center"/>
          </w:tcPr>
          <w:p w14:paraId="7F24483C">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1D9B163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1.穿整洁干净工作服5 分；</w:t>
            </w:r>
          </w:p>
        </w:tc>
        <w:tc>
          <w:tcPr>
            <w:tcW w:w="783" w:type="dxa"/>
            <w:tcBorders>
              <w:top w:val="nil"/>
              <w:left w:val="nil"/>
              <w:bottom w:val="single" w:color="auto" w:sz="4" w:space="0"/>
              <w:right w:val="single" w:color="auto" w:sz="4" w:space="0"/>
            </w:tcBorders>
            <w:noWrap/>
            <w:vAlign w:val="center"/>
          </w:tcPr>
          <w:p w14:paraId="578611FE">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3FA01904">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2A235738">
        <w:tblPrEx>
          <w:tblCellMar>
            <w:top w:w="0" w:type="dxa"/>
            <w:left w:w="108" w:type="dxa"/>
            <w:bottom w:w="0" w:type="dxa"/>
            <w:right w:w="108" w:type="dxa"/>
          </w:tblCellMar>
        </w:tblPrEx>
        <w:trPr>
          <w:trHeight w:val="441" w:hRule="atLeast"/>
        </w:trPr>
        <w:tc>
          <w:tcPr>
            <w:tcW w:w="709" w:type="dxa"/>
            <w:vMerge w:val="continue"/>
            <w:tcBorders>
              <w:top w:val="nil"/>
              <w:left w:val="single" w:color="auto" w:sz="4" w:space="0"/>
              <w:bottom w:val="single" w:color="auto" w:sz="4" w:space="0"/>
              <w:right w:val="single" w:color="auto" w:sz="4" w:space="0"/>
            </w:tcBorders>
            <w:noWrap w:val="0"/>
            <w:vAlign w:val="center"/>
          </w:tcPr>
          <w:p w14:paraId="63BADC80">
            <w:pPr>
              <w:widowControl/>
              <w:spacing w:line="360" w:lineRule="auto"/>
              <w:jc w:val="left"/>
              <w:rPr>
                <w:rFonts w:ascii="宋体" w:hAnsi="宋体" w:cs="宋体"/>
                <w:color w:val="000000"/>
                <w:kern w:val="0"/>
                <w:sz w:val="22"/>
                <w:szCs w:val="22"/>
              </w:rPr>
            </w:pPr>
          </w:p>
        </w:tc>
        <w:tc>
          <w:tcPr>
            <w:tcW w:w="992" w:type="dxa"/>
            <w:vMerge w:val="continue"/>
            <w:tcBorders>
              <w:top w:val="nil"/>
              <w:left w:val="single" w:color="auto" w:sz="4" w:space="0"/>
              <w:bottom w:val="single" w:color="auto" w:sz="4" w:space="0"/>
              <w:right w:val="single" w:color="auto" w:sz="4" w:space="0"/>
            </w:tcBorders>
            <w:noWrap w:val="0"/>
            <w:vAlign w:val="center"/>
          </w:tcPr>
          <w:p w14:paraId="0DB55D3D">
            <w:pPr>
              <w:widowControl/>
              <w:spacing w:line="360" w:lineRule="auto"/>
              <w:jc w:val="left"/>
              <w:rPr>
                <w:rFonts w:ascii="宋体" w:hAnsi="宋体" w:cs="宋体"/>
                <w:color w:val="000000"/>
                <w:kern w:val="0"/>
                <w:sz w:val="22"/>
                <w:szCs w:val="22"/>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63CDEFA4">
            <w:pPr>
              <w:widowControl/>
              <w:spacing w:line="360" w:lineRule="auto"/>
              <w:jc w:val="left"/>
              <w:rPr>
                <w:rFonts w:ascii="宋体" w:hAnsi="宋体" w:cs="宋体"/>
                <w:color w:val="000000"/>
                <w:kern w:val="0"/>
                <w:sz w:val="22"/>
                <w:szCs w:val="22"/>
              </w:rPr>
            </w:pPr>
          </w:p>
        </w:tc>
        <w:tc>
          <w:tcPr>
            <w:tcW w:w="4927" w:type="dxa"/>
            <w:tcBorders>
              <w:top w:val="nil"/>
              <w:left w:val="nil"/>
              <w:bottom w:val="single" w:color="auto" w:sz="4" w:space="0"/>
              <w:right w:val="single" w:color="auto" w:sz="4" w:space="0"/>
            </w:tcBorders>
            <w:noWrap/>
            <w:vAlign w:val="center"/>
          </w:tcPr>
          <w:p w14:paraId="17C9D83C">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2.养护本、水桶、抹布、剪刀、喷壶等配带齐全5 分</w:t>
            </w:r>
          </w:p>
        </w:tc>
        <w:tc>
          <w:tcPr>
            <w:tcW w:w="783" w:type="dxa"/>
            <w:tcBorders>
              <w:top w:val="nil"/>
              <w:left w:val="nil"/>
              <w:bottom w:val="single" w:color="auto" w:sz="4" w:space="0"/>
              <w:right w:val="single" w:color="auto" w:sz="4" w:space="0"/>
            </w:tcBorders>
            <w:noWrap/>
            <w:vAlign w:val="center"/>
          </w:tcPr>
          <w:p w14:paraId="6CF5A40F">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44CFFA7A">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3036DA98">
        <w:tblPrEx>
          <w:tblCellMar>
            <w:top w:w="0" w:type="dxa"/>
            <w:left w:w="108" w:type="dxa"/>
            <w:bottom w:w="0" w:type="dxa"/>
            <w:right w:w="108" w:type="dxa"/>
          </w:tblCellMar>
        </w:tblPrEx>
        <w:trPr>
          <w:trHeight w:val="441" w:hRule="atLeast"/>
        </w:trPr>
        <w:tc>
          <w:tcPr>
            <w:tcW w:w="709" w:type="dxa"/>
            <w:tcBorders>
              <w:top w:val="nil"/>
              <w:left w:val="single" w:color="auto" w:sz="4" w:space="0"/>
              <w:bottom w:val="single" w:color="auto" w:sz="4" w:space="0"/>
              <w:right w:val="single" w:color="auto" w:sz="4" w:space="0"/>
            </w:tcBorders>
            <w:noWrap/>
            <w:vAlign w:val="center"/>
          </w:tcPr>
          <w:p w14:paraId="78368FF2">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992" w:type="dxa"/>
            <w:tcBorders>
              <w:top w:val="nil"/>
              <w:left w:val="nil"/>
              <w:bottom w:val="single" w:color="auto" w:sz="4" w:space="0"/>
              <w:right w:val="single" w:color="auto" w:sz="4" w:space="0"/>
            </w:tcBorders>
            <w:noWrap/>
            <w:vAlign w:val="center"/>
          </w:tcPr>
          <w:p w14:paraId="50002A3D">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正常养护</w:t>
            </w:r>
          </w:p>
        </w:tc>
        <w:tc>
          <w:tcPr>
            <w:tcW w:w="851" w:type="dxa"/>
            <w:tcBorders>
              <w:top w:val="nil"/>
              <w:left w:val="nil"/>
              <w:bottom w:val="single" w:color="auto" w:sz="4" w:space="0"/>
              <w:right w:val="single" w:color="auto" w:sz="4" w:space="0"/>
            </w:tcBorders>
            <w:noWrap/>
            <w:vAlign w:val="center"/>
          </w:tcPr>
          <w:p w14:paraId="787DF28C">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10分</w:t>
            </w:r>
          </w:p>
        </w:tc>
        <w:tc>
          <w:tcPr>
            <w:tcW w:w="4927" w:type="dxa"/>
            <w:tcBorders>
              <w:top w:val="nil"/>
              <w:left w:val="nil"/>
              <w:bottom w:val="single" w:color="auto" w:sz="4" w:space="0"/>
              <w:right w:val="single" w:color="auto" w:sz="4" w:space="0"/>
            </w:tcBorders>
            <w:noWrap/>
            <w:vAlign w:val="center"/>
          </w:tcPr>
          <w:p w14:paraId="7F2303F2">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根据合同、植物长势和气温情况每周正常按时养护至少两次10 分</w:t>
            </w:r>
          </w:p>
        </w:tc>
        <w:tc>
          <w:tcPr>
            <w:tcW w:w="783" w:type="dxa"/>
            <w:tcBorders>
              <w:top w:val="nil"/>
              <w:left w:val="nil"/>
              <w:bottom w:val="single" w:color="auto" w:sz="4" w:space="0"/>
              <w:right w:val="single" w:color="auto" w:sz="4" w:space="0"/>
            </w:tcBorders>
            <w:noWrap/>
            <w:vAlign w:val="center"/>
          </w:tcPr>
          <w:p w14:paraId="431DC3D0">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780" w:type="dxa"/>
            <w:tcBorders>
              <w:top w:val="nil"/>
              <w:left w:val="nil"/>
              <w:bottom w:val="single" w:color="auto" w:sz="4" w:space="0"/>
              <w:right w:val="single" w:color="auto" w:sz="4" w:space="0"/>
            </w:tcBorders>
            <w:noWrap/>
            <w:vAlign w:val="center"/>
          </w:tcPr>
          <w:p w14:paraId="6CF8E95D">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F46A596">
        <w:tblPrEx>
          <w:tblCellMar>
            <w:top w:w="0" w:type="dxa"/>
            <w:left w:w="108" w:type="dxa"/>
            <w:bottom w:w="0" w:type="dxa"/>
            <w:right w:w="108" w:type="dxa"/>
          </w:tblCellMar>
        </w:tblPrEx>
        <w:trPr>
          <w:trHeight w:val="565" w:hRule="atLeast"/>
        </w:trPr>
        <w:tc>
          <w:tcPr>
            <w:tcW w:w="8262" w:type="dxa"/>
            <w:gridSpan w:val="5"/>
            <w:tcBorders>
              <w:top w:val="single" w:color="auto" w:sz="4" w:space="0"/>
              <w:left w:val="single" w:color="auto" w:sz="4" w:space="0"/>
              <w:bottom w:val="single" w:color="auto" w:sz="4" w:space="0"/>
              <w:right w:val="single" w:color="auto" w:sz="4" w:space="0"/>
            </w:tcBorders>
            <w:noWrap/>
            <w:vAlign w:val="center"/>
          </w:tcPr>
          <w:p w14:paraId="49571DB2">
            <w:pPr>
              <w:widowControl/>
              <w:spacing w:line="360" w:lineRule="auto"/>
              <w:jc w:val="right"/>
              <w:rPr>
                <w:rFonts w:ascii="宋体" w:hAnsi="宋体" w:cs="宋体"/>
                <w:color w:val="000000"/>
                <w:kern w:val="0"/>
                <w:sz w:val="24"/>
              </w:rPr>
            </w:pPr>
            <w:r>
              <w:rPr>
                <w:rFonts w:hint="eastAsia" w:ascii="宋体" w:hAnsi="宋体" w:cs="宋体"/>
                <w:color w:val="000000"/>
                <w:kern w:val="0"/>
                <w:sz w:val="24"/>
              </w:rPr>
              <w:t>考核总分</w:t>
            </w:r>
          </w:p>
        </w:tc>
        <w:tc>
          <w:tcPr>
            <w:tcW w:w="780" w:type="dxa"/>
            <w:tcBorders>
              <w:top w:val="nil"/>
              <w:left w:val="nil"/>
              <w:bottom w:val="single" w:color="auto" w:sz="4" w:space="0"/>
              <w:right w:val="single" w:color="auto" w:sz="4" w:space="0"/>
            </w:tcBorders>
            <w:noWrap/>
            <w:vAlign w:val="center"/>
          </w:tcPr>
          <w:p w14:paraId="5BA71741">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　</w:t>
            </w:r>
          </w:p>
        </w:tc>
      </w:tr>
    </w:tbl>
    <w:p w14:paraId="3D029949">
      <w:pPr>
        <w:tabs>
          <w:tab w:val="left" w:pos="1107"/>
          <w:tab w:val="left" w:pos="1843"/>
        </w:tabs>
        <w:spacing w:line="360" w:lineRule="auto"/>
        <w:ind w:firstLine="480" w:firstLineChars="200"/>
        <w:rPr>
          <w:rFonts w:ascii="宋体" w:hAnsi="宋体"/>
          <w:sz w:val="24"/>
        </w:rPr>
      </w:pPr>
      <w:r>
        <w:rPr>
          <w:rFonts w:hint="eastAsia" w:ascii="宋体" w:hAnsi="宋体"/>
          <w:sz w:val="24"/>
        </w:rPr>
        <w:t>备注：（1）按月进行考核，考核分数均90≥分，视为考核合格，则全额支付当月服务费；考核分数＜80，视为考核不合格，采购方有权扣除当月服务费2</w:t>
      </w:r>
      <w:r>
        <w:rPr>
          <w:rFonts w:ascii="宋体" w:hAnsi="宋体"/>
          <w:sz w:val="24"/>
        </w:rPr>
        <w:t>0%</w:t>
      </w:r>
      <w:r>
        <w:rPr>
          <w:rFonts w:hint="eastAsia" w:ascii="宋体" w:hAnsi="宋体"/>
          <w:sz w:val="24"/>
        </w:rPr>
        <w:t>作为处罚款；若累计三次考核不合格，采购人有权单方解除合同。</w:t>
      </w:r>
    </w:p>
    <w:p w14:paraId="64859059">
      <w:pPr>
        <w:tabs>
          <w:tab w:val="left" w:pos="1107"/>
          <w:tab w:val="left" w:pos="1843"/>
        </w:tabs>
        <w:spacing w:line="360" w:lineRule="auto"/>
        <w:ind w:firstLine="480" w:firstLineChars="200"/>
        <w:rPr>
          <w:rFonts w:ascii="宋体" w:hAnsi="宋体"/>
          <w:sz w:val="24"/>
        </w:rPr>
      </w:pPr>
      <w:r>
        <w:rPr>
          <w:rFonts w:hint="eastAsia" w:ascii="宋体" w:hAnsi="宋体"/>
          <w:sz w:val="24"/>
        </w:rPr>
        <w:t>（2）如在上级主管部门组织的市容考评中考评不合格，则当月考核不合格，且采购方有权扣除当月全额服务费；如被上级主管部门通报批评，则采购人有权单方解除合同。</w:t>
      </w:r>
    </w:p>
    <w:p w14:paraId="364C22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bCs/>
          <w:sz w:val="36"/>
          <w:szCs w:val="36"/>
          <w:lang w:val="en-US" w:eastAsia="zh-CN"/>
        </w:rPr>
      </w:pPr>
      <w:r>
        <w:rPr>
          <w:rFonts w:hint="eastAsia" w:ascii="宋体" w:hAnsi="宋体" w:eastAsia="宋体" w:cs="宋体"/>
          <w:color w:val="000000"/>
          <w:kern w:val="0"/>
          <w:sz w:val="24"/>
          <w:szCs w:val="24"/>
          <w:lang w:val="en-US" w:eastAsia="zh-CN" w:bidi="ar"/>
        </w:rPr>
        <w:t>（3）每月对现场绿植进行盘点，实际摆放总株数低于 120 株的，当月直接考核不合格，按照考核细则予以扣款；连续 2 个月达不到株数要求，采购人有权单方解除合同。其余原有考核表格内容不变。</w:t>
      </w:r>
    </w:p>
    <w:p w14:paraId="2E614283">
      <w:pPr>
        <w:pageBreakBefore w:val="0"/>
        <w:kinsoku/>
        <w:wordWrap/>
        <w:topLinePunct w:val="0"/>
        <w:bidi w:val="0"/>
        <w:snapToGrid/>
        <w:spacing w:beforeAutospacing="0" w:afterAutospacing="0" w:line="360" w:lineRule="auto"/>
        <w:ind w:firstLine="480" w:firstLineChars="200"/>
        <w:rPr>
          <w:rFonts w:hint="default" w:ascii="宋体" w:hAnsi="宋体" w:eastAsia="宋体" w:cs="宋体"/>
          <w:color w:val="000000"/>
          <w:sz w:val="24"/>
          <w:highlight w:val="none"/>
        </w:rPr>
        <w:sectPr>
          <w:pgSz w:w="11906" w:h="16838"/>
          <w:pgMar w:top="1440" w:right="1080" w:bottom="1440" w:left="1080" w:header="851" w:footer="992" w:gutter="0"/>
          <w:cols w:space="425" w:num="1"/>
          <w:docGrid w:type="lines" w:linePitch="312" w:charSpace="0"/>
        </w:sectPr>
      </w:pPr>
    </w:p>
    <w:p w14:paraId="22070710"/>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D592F"/>
    <w:rsid w:val="02AF0CEA"/>
    <w:rsid w:val="030A20C1"/>
    <w:rsid w:val="09C6098B"/>
    <w:rsid w:val="0E8D0063"/>
    <w:rsid w:val="1685391A"/>
    <w:rsid w:val="19915A27"/>
    <w:rsid w:val="19D74D45"/>
    <w:rsid w:val="200A4FE2"/>
    <w:rsid w:val="397D12CE"/>
    <w:rsid w:val="408737C5"/>
    <w:rsid w:val="44B609C8"/>
    <w:rsid w:val="45BD592F"/>
    <w:rsid w:val="4AF4659F"/>
    <w:rsid w:val="50495E01"/>
    <w:rsid w:val="5126314A"/>
    <w:rsid w:val="58825FE5"/>
    <w:rsid w:val="6A4B784D"/>
    <w:rsid w:val="7373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Plain Text"/>
    <w:basedOn w:val="1"/>
    <w:qFormat/>
    <w:uiPriority w:val="0"/>
    <w:rPr>
      <w:rFonts w:ascii="宋体" w:hAnsi="Courier New"/>
      <w:sz w:val="21"/>
      <w:szCs w:val="20"/>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标题 7 New"/>
    <w:basedOn w:val="1"/>
    <w:next w:val="1"/>
    <w:qFormat/>
    <w:uiPriority w:val="0"/>
    <w:pPr>
      <w:keepNext/>
      <w:keepLines/>
      <w:widowControl/>
      <w:tabs>
        <w:tab w:val="left" w:pos="2520"/>
      </w:tabs>
      <w:spacing w:before="240" w:beforeLines="0" w:after="64" w:afterLines="0" w:line="317" w:lineRule="auto"/>
      <w:ind w:left="1296" w:hanging="1296"/>
      <w:jc w:val="left"/>
      <w:outlineLvl w:val="6"/>
    </w:pPr>
    <w:rPr>
      <w:b/>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702</Words>
  <Characters>744</Characters>
  <Lines>0</Lines>
  <Paragraphs>0</Paragraphs>
  <TotalTime>10</TotalTime>
  <ScaleCrop>false</ScaleCrop>
  <LinksUpToDate>false</LinksUpToDate>
  <CharactersWithSpaces>761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2026-09-24T06:52:00Z</dcterms:created>
  <dc:creator>知足常le</dc:creator>
  <cp:lastModifiedBy>svfly</cp:lastModifiedBy>
  <dcterms:modified xsi:type="dcterms:W3CDTF">2026-10-12T08:55:46Z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2A01331064954269837C617654DD7FC6_13</vt:lpwstr>
  </property>
  <property fmtid="{D5CDD505-2E9C-101B-9397-08002B2CF9AE}" pid="4" name="KSOTemplateDocerSaveRecord">
    <vt:lpwstr>eyJoZGlkIjoiZGMwYjVlZGJmZTY0NTFmMjhiZjIxMmM3NzI2OTI2NDkiLCJ1c2VySWQiOiIyNzc4NzU4MTQifQ==</vt:lpwstr>
  </property>
</Properties>
</file>