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71B5E">
      <w:pPr>
        <w:jc w:val="center"/>
        <w:rPr>
          <w:b/>
          <w:bCs/>
          <w:color w:val="auto"/>
          <w:sz w:val="32"/>
          <w:szCs w:val="40"/>
        </w:rPr>
      </w:pPr>
      <w:bookmarkStart w:id="0" w:name="_GoBack"/>
      <w:r>
        <w:rPr>
          <w:rFonts w:hint="eastAsia"/>
          <w:b/>
          <w:bCs/>
          <w:color w:val="auto"/>
          <w:sz w:val="32"/>
          <w:szCs w:val="40"/>
        </w:rPr>
        <w:t>需求内容—移动护理车2套</w:t>
      </w:r>
    </w:p>
    <w:bookmarkEnd w:id="0"/>
    <w:p w14:paraId="1CF6312F">
      <w:pPr>
        <w:pStyle w:val="5"/>
        <w:jc w:val="left"/>
        <w:outlineLvl w:val="2"/>
        <w:rPr>
          <w:rFonts w:hint="eastAsia" w:ascii="宋体" w:hAnsi="宋体" w:eastAsia="宋体" w:cs="宋体"/>
          <w:b/>
          <w:color w:val="auto"/>
          <w:sz w:val="24"/>
          <w:szCs w:val="24"/>
        </w:rPr>
      </w:pPr>
    </w:p>
    <w:p w14:paraId="7904B8C9">
      <w:pPr>
        <w:pStyle w:val="5"/>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供应商的资格要求：</w:t>
      </w:r>
      <w:r>
        <w:rPr>
          <w:rFonts w:hint="eastAsia" w:ascii="宋体" w:hAnsi="宋体" w:eastAsia="宋体" w:cs="宋体"/>
          <w:color w:val="auto"/>
          <w:sz w:val="24"/>
          <w:szCs w:val="24"/>
        </w:rPr>
        <w:t>本采购包为专门面向中小企业采购，供应商须提供中小企业声明函。</w:t>
      </w:r>
    </w:p>
    <w:p w14:paraId="5D5B471E">
      <w:pPr>
        <w:rPr>
          <w:rFonts w:hint="eastAsia" w:ascii="宋体" w:hAnsi="宋体" w:eastAsia="宋体" w:cs="宋体"/>
          <w:color w:val="auto"/>
        </w:rPr>
      </w:pPr>
    </w:p>
    <w:p w14:paraId="54A66907">
      <w:pPr>
        <w:pStyle w:val="5"/>
        <w:spacing w:line="360" w:lineRule="auto"/>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一、（根据本项目实际情况，填写“采购标的”或“项目概况”）</w:t>
      </w:r>
    </w:p>
    <w:p w14:paraId="5BA8FA82">
      <w:pPr>
        <w:pStyle w:val="5"/>
        <w:spacing w:line="360" w:lineRule="auto"/>
        <w:ind w:firstLine="420"/>
        <w:jc w:val="left"/>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厦门医学院附属口腔医院</w:t>
      </w:r>
      <w:r>
        <w:rPr>
          <w:rFonts w:hint="eastAsia" w:ascii="宋体" w:hAnsi="宋体" w:eastAsia="宋体" w:cs="宋体"/>
          <w:color w:val="auto"/>
          <w:kern w:val="0"/>
          <w:sz w:val="24"/>
          <w:szCs w:val="24"/>
          <w:lang w:val="en-US" w:eastAsia="zh-CN"/>
        </w:rPr>
        <w:t>移动护理车</w:t>
      </w:r>
      <w:r>
        <w:rPr>
          <w:rFonts w:hint="eastAsia" w:ascii="宋体" w:hAnsi="宋体" w:eastAsia="宋体" w:cs="宋体"/>
          <w:color w:val="auto"/>
          <w:sz w:val="24"/>
          <w:szCs w:val="24"/>
        </w:rPr>
        <w:t>设备采购</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采购数量：2套</w:t>
      </w:r>
      <w:r>
        <w:rPr>
          <w:rFonts w:hint="eastAsia" w:ascii="宋体" w:hAnsi="宋体" w:eastAsia="宋体" w:cs="宋体"/>
          <w:color w:val="auto"/>
          <w:sz w:val="24"/>
          <w:szCs w:val="24"/>
          <w:lang w:eastAsia="zh-CN"/>
        </w:rPr>
        <w:t>。</w:t>
      </w:r>
    </w:p>
    <w:p w14:paraId="16F4E632">
      <w:pPr>
        <w:pStyle w:val="5"/>
        <w:spacing w:line="360" w:lineRule="auto"/>
        <w:jc w:val="left"/>
        <w:outlineLvl w:val="2"/>
        <w:rPr>
          <w:rFonts w:hint="eastAsia" w:ascii="宋体" w:hAnsi="宋体" w:eastAsia="宋体" w:cs="宋体"/>
          <w:b/>
          <w:color w:val="auto"/>
          <w:sz w:val="24"/>
          <w:szCs w:val="24"/>
        </w:rPr>
      </w:pPr>
      <w:r>
        <w:rPr>
          <w:rFonts w:hint="eastAsia" w:ascii="宋体" w:hAnsi="宋体" w:eastAsia="宋体" w:cs="宋体"/>
          <w:b/>
          <w:color w:val="auto"/>
          <w:sz w:val="24"/>
          <w:szCs w:val="24"/>
        </w:rPr>
        <w:t>二、技术要求</w:t>
      </w:r>
    </w:p>
    <w:p w14:paraId="7036F1B7">
      <w:pPr>
        <w:keepNext w:val="0"/>
        <w:keepLines w:val="0"/>
        <w:pageBreakBefore w:val="0"/>
        <w:kinsoku/>
        <w:wordWrap/>
        <w:overflowPunct/>
        <w:topLinePunct w:val="0"/>
        <w:autoSpaceDE/>
        <w:autoSpaceDN/>
        <w:bidi w:val="0"/>
        <w:adjustRightInd w:val="0"/>
        <w:snapToGrid w:val="0"/>
        <w:spacing w:line="360" w:lineRule="auto"/>
        <w:jc w:val="both"/>
        <w:rPr>
          <w:rFonts w:hint="eastAsia" w:ascii="宋体" w:hAnsi="宋体" w:eastAsia="宋体" w:cs="宋体"/>
          <w:b/>
          <w:bCs/>
          <w:color w:val="auto"/>
          <w:szCs w:val="21"/>
        </w:rPr>
      </w:pPr>
      <w:r>
        <w:rPr>
          <w:rFonts w:hint="eastAsia" w:ascii="宋体" w:hAnsi="宋体" w:eastAsia="宋体" w:cs="宋体"/>
          <w:b/>
          <w:color w:val="auto"/>
          <w:sz w:val="24"/>
        </w:rPr>
        <w:t>【评分项1】</w:t>
      </w:r>
      <w:r>
        <w:rPr>
          <w:rFonts w:hint="eastAsia" w:ascii="宋体" w:hAnsi="宋体" w:eastAsia="宋体" w:cs="宋体"/>
          <w:b/>
          <w:bCs/>
          <w:i w:val="0"/>
          <w:iCs w:val="0"/>
          <w:color w:val="auto"/>
          <w:kern w:val="0"/>
          <w:sz w:val="22"/>
          <w:szCs w:val="22"/>
          <w:u w:val="none"/>
          <w:lang w:val="en-US" w:eastAsia="zh-CN" w:bidi="ar"/>
        </w:rPr>
        <w:t>1</w:t>
      </w:r>
      <w:r>
        <w:rPr>
          <w:rFonts w:hint="eastAsia" w:ascii="宋体" w:hAnsi="宋体" w:eastAsia="宋体" w:cs="宋体"/>
          <w:b/>
          <w:bCs/>
          <w:color w:val="auto"/>
          <w:szCs w:val="21"/>
        </w:rPr>
        <w:t>系统配置</w:t>
      </w:r>
    </w:p>
    <w:p w14:paraId="7796D848">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尺寸≥23.8”，分辨率≥1920x1080，</w:t>
      </w:r>
      <w:r>
        <w:rPr>
          <w:rFonts w:hint="eastAsia" w:ascii="宋体" w:hAnsi="宋体" w:eastAsia="宋体" w:cs="宋体"/>
          <w:color w:val="auto"/>
          <w:szCs w:val="21"/>
          <w:woUserID w:val="1"/>
        </w:rPr>
        <w:t>触摸屏，</w:t>
      </w:r>
      <w:r>
        <w:rPr>
          <w:rFonts w:hint="eastAsia" w:ascii="宋体" w:hAnsi="宋体" w:eastAsia="宋体" w:cs="宋体"/>
          <w:color w:val="auto"/>
          <w:szCs w:val="21"/>
        </w:rPr>
        <w:t>内置音箱；</w:t>
      </w:r>
    </w:p>
    <w:p w14:paraId="3AAE811C">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lightGray"/>
        </w:rPr>
      </w:pPr>
      <w:r>
        <w:rPr>
          <w:rFonts w:hint="eastAsia" w:ascii="宋体" w:hAnsi="宋体" w:eastAsia="宋体" w:cs="宋体"/>
          <w:color w:val="auto"/>
          <w:szCs w:val="21"/>
        </w:rPr>
        <w:t xml:space="preserve">CPU：主频≥2.1GHz，睿频≥4.9GHz，缓存≥25MB，物理核心数≥12核，线程数≥20线程  </w:t>
      </w:r>
    </w:p>
    <w:p w14:paraId="3FD3E22D">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内存：≥</w:t>
      </w:r>
      <w:r>
        <w:rPr>
          <w:rFonts w:hint="eastAsia" w:ascii="宋体" w:hAnsi="宋体" w:eastAsia="宋体" w:cs="宋体"/>
          <w:color w:val="auto"/>
          <w:szCs w:val="21"/>
          <w:woUserID w:val="1"/>
        </w:rPr>
        <w:t>32</w:t>
      </w:r>
      <w:r>
        <w:rPr>
          <w:rFonts w:hint="eastAsia" w:ascii="宋体" w:hAnsi="宋体" w:eastAsia="宋体" w:cs="宋体"/>
          <w:color w:val="auto"/>
          <w:szCs w:val="21"/>
        </w:rPr>
        <w:t>GB 内存</w:t>
      </w:r>
    </w:p>
    <w:p w14:paraId="63A30537">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固态硬盘：容量≥</w:t>
      </w:r>
      <w:r>
        <w:rPr>
          <w:rFonts w:hint="eastAsia" w:ascii="宋体" w:hAnsi="宋体" w:eastAsia="宋体" w:cs="宋体"/>
          <w:color w:val="auto"/>
          <w:szCs w:val="21"/>
          <w:woUserID w:val="1"/>
        </w:rPr>
        <w:t>1T</w:t>
      </w:r>
      <w:r>
        <w:rPr>
          <w:rFonts w:hint="eastAsia" w:ascii="宋体" w:hAnsi="宋体" w:eastAsia="宋体" w:cs="宋体"/>
          <w:color w:val="auto"/>
          <w:szCs w:val="21"/>
        </w:rPr>
        <w:t>B</w:t>
      </w:r>
    </w:p>
    <w:p w14:paraId="373A4418">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lang w:val="en-US" w:eastAsia="zh-CN"/>
        </w:rPr>
        <w:t>正版</w:t>
      </w:r>
      <w:r>
        <w:rPr>
          <w:rFonts w:hint="eastAsia" w:ascii="宋体" w:hAnsi="宋体" w:eastAsia="宋体" w:cs="宋体"/>
          <w:color w:val="auto"/>
          <w:szCs w:val="21"/>
        </w:rPr>
        <w:t>操作系统</w:t>
      </w:r>
    </w:p>
    <w:p w14:paraId="5B5D15C0">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系列网卡：支持2.4G/5G Hz Wifi6网络，支持802.11 b/g/n/ac/ax以上标准</w:t>
      </w:r>
    </w:p>
    <w:p w14:paraId="16DF7023">
      <w:pPr>
        <w:keepNext w:val="0"/>
        <w:keepLines w:val="0"/>
        <w:pageBreakBefore w:val="0"/>
        <w:kinsoku/>
        <w:wordWrap/>
        <w:overflowPunct/>
        <w:topLinePunct w:val="0"/>
        <w:autoSpaceDE/>
        <w:autoSpaceDN/>
        <w:bidi w:val="0"/>
        <w:adjustRightInd w:val="0"/>
        <w:snapToGrid w:val="0"/>
        <w:spacing w:line="360" w:lineRule="auto"/>
        <w:jc w:val="both"/>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w:t>
      </w:r>
      <w:r>
        <w:rPr>
          <w:rFonts w:hint="eastAsia" w:ascii="宋体" w:hAnsi="宋体" w:eastAsia="宋体" w:cs="宋体"/>
          <w:b/>
          <w:bCs/>
          <w:color w:val="auto"/>
          <w:szCs w:val="21"/>
          <w:highlight w:val="none"/>
        </w:rPr>
        <w:t>一体机集成设计</w:t>
      </w:r>
    </w:p>
    <w:p w14:paraId="29EA5F43">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接口，摄像头，麦克风，</w:t>
      </w:r>
      <w:r>
        <w:rPr>
          <w:rFonts w:hint="eastAsia" w:ascii="宋体" w:hAnsi="宋体" w:eastAsia="宋体" w:cs="宋体"/>
          <w:bCs/>
          <w:color w:val="auto"/>
          <w:szCs w:val="21"/>
          <w:highlight w:val="none"/>
        </w:rPr>
        <w:t>接口防尘仓，电源开关，节能模块等均集成于一体机上</w:t>
      </w:r>
    </w:p>
    <w:p w14:paraId="2864FA45">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【重点技术指标项1】</w:t>
      </w:r>
      <w:r>
        <w:rPr>
          <w:rFonts w:hint="eastAsia" w:ascii="宋体" w:hAnsi="宋体" w:eastAsia="宋体" w:cs="宋体"/>
          <w:b/>
          <w:bCs/>
          <w:i w:val="0"/>
          <w:iCs w:val="0"/>
          <w:color w:val="auto"/>
          <w:kern w:val="0"/>
          <w:sz w:val="22"/>
          <w:szCs w:val="22"/>
          <w:u w:val="none"/>
          <w:lang w:val="en-US" w:eastAsia="zh-CN" w:bidi="ar"/>
        </w:rPr>
        <w:t>3</w:t>
      </w:r>
      <w:r>
        <w:rPr>
          <w:rFonts w:hint="eastAsia" w:ascii="宋体" w:hAnsi="宋体" w:eastAsia="宋体" w:cs="宋体"/>
          <w:b/>
          <w:bCs/>
          <w:color w:val="auto"/>
          <w:szCs w:val="21"/>
          <w:highlight w:val="none"/>
        </w:rPr>
        <w:t>▲一体机接口</w:t>
      </w:r>
    </w:p>
    <w:p w14:paraId="0F48D053">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USB3.0≥2个，USB2.0≥2个，HDMI≥1个，RJ45≥1个，Type C≥1个，SIM卡槽≥1个，以上接口内置不通过转接线外露（提供接口实物照片）</w:t>
      </w:r>
    </w:p>
    <w:p w14:paraId="7B80FB5F">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【重点技术指标项</w:t>
      </w:r>
      <w:r>
        <w:rPr>
          <w:rFonts w:hint="eastAsia" w:ascii="宋体" w:hAnsi="宋体" w:eastAsia="宋体" w:cs="宋体"/>
          <w:b/>
          <w:color w:val="auto"/>
          <w:sz w:val="24"/>
          <w:lang w:val="en-US" w:eastAsia="zh-CN"/>
        </w:rPr>
        <w:t>2</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4</w:t>
      </w:r>
      <w:r>
        <w:rPr>
          <w:rFonts w:hint="eastAsia" w:ascii="宋体" w:hAnsi="宋体" w:eastAsia="宋体" w:cs="宋体"/>
          <w:b/>
          <w:bCs/>
          <w:color w:val="auto"/>
          <w:szCs w:val="21"/>
          <w:highlight w:val="none"/>
        </w:rPr>
        <w:t>▲摄像头</w:t>
      </w:r>
    </w:p>
    <w:p w14:paraId="4AC78774">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一体机配置内嵌摄像头，具备物理开启/关闭结构装置（提供内嵌摄像头物理开启和关闭的实物照片）</w:t>
      </w:r>
    </w:p>
    <w:p w14:paraId="7323E3E3">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【重点技术指标项</w:t>
      </w:r>
      <w:r>
        <w:rPr>
          <w:rFonts w:hint="eastAsia" w:ascii="宋体" w:hAnsi="宋体" w:eastAsia="宋体" w:cs="宋体"/>
          <w:b/>
          <w:color w:val="auto"/>
          <w:sz w:val="24"/>
          <w:lang w:val="en-US" w:eastAsia="zh-CN"/>
        </w:rPr>
        <w:t>3</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5</w:t>
      </w:r>
      <w:r>
        <w:rPr>
          <w:rFonts w:hint="eastAsia" w:ascii="宋体" w:hAnsi="宋体" w:eastAsia="宋体" w:cs="宋体"/>
          <w:b/>
          <w:bCs/>
          <w:color w:val="auto"/>
          <w:szCs w:val="21"/>
          <w:highlight w:val="none"/>
        </w:rPr>
        <w:t>▲麦克风</w:t>
      </w:r>
    </w:p>
    <w:p w14:paraId="0AD75048">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一体机配置内嵌式麦克风，位于一体机正面（提供内嵌式麦克风的实物照片）</w:t>
      </w:r>
    </w:p>
    <w:p w14:paraId="3D5EB539">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【重点技术指标项</w:t>
      </w:r>
      <w:r>
        <w:rPr>
          <w:rFonts w:hint="eastAsia" w:ascii="宋体" w:hAnsi="宋体" w:eastAsia="宋体" w:cs="宋体"/>
          <w:b/>
          <w:color w:val="auto"/>
          <w:sz w:val="24"/>
          <w:lang w:val="en-US" w:eastAsia="zh-CN"/>
        </w:rPr>
        <w:t>4</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6</w:t>
      </w:r>
      <w:r>
        <w:rPr>
          <w:rFonts w:hint="eastAsia" w:ascii="宋体" w:hAnsi="宋体" w:eastAsia="宋体" w:cs="宋体"/>
          <w:b/>
          <w:bCs/>
          <w:color w:val="auto"/>
          <w:szCs w:val="21"/>
          <w:highlight w:val="none"/>
        </w:rPr>
        <w:t>▲接口防尘仓</w:t>
      </w:r>
    </w:p>
    <w:p w14:paraId="4F0E3228">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USB和Type C等接口位于一体机背后，具有接口保护盖，关闭时接口完全隐藏（提供接口防尘仓开启和关闭的实物照片）</w:t>
      </w:r>
    </w:p>
    <w:p w14:paraId="589AF07F">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3</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7</w:t>
      </w:r>
      <w:r>
        <w:rPr>
          <w:rFonts w:hint="eastAsia" w:ascii="宋体" w:hAnsi="宋体" w:eastAsia="宋体" w:cs="宋体"/>
          <w:b/>
          <w:bCs/>
          <w:color w:val="auto"/>
          <w:szCs w:val="21"/>
          <w:highlight w:val="none"/>
        </w:rPr>
        <w:t>节能管理</w:t>
      </w:r>
    </w:p>
    <w:p w14:paraId="7D8FD19B">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一体机屏幕下方具备智能感应模块，实现人靠近时自动唤醒，无人时熄屏；（提供节能模块的实物照片及功能设置界面）</w:t>
      </w:r>
    </w:p>
    <w:p w14:paraId="0E8B92CF">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4</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8</w:t>
      </w:r>
      <w:r>
        <w:rPr>
          <w:rFonts w:hint="eastAsia" w:ascii="宋体" w:hAnsi="宋体" w:eastAsia="宋体" w:cs="宋体"/>
          <w:b/>
          <w:bCs/>
          <w:color w:val="auto"/>
          <w:szCs w:val="21"/>
          <w:highlight w:val="none"/>
        </w:rPr>
        <w:t>电量指示灯</w:t>
      </w:r>
    </w:p>
    <w:p w14:paraId="48ED8882">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一体机上开关按键集成电量指示灯，各种状态显示不同颜色，充电时蓝色闪烁灯，充满时蓝色常亮，低电量橙色（提供电量指示灯集成在开关按键上以及各种状态下电量指示灯显示不同颜色的实物照片）</w:t>
      </w:r>
    </w:p>
    <w:p w14:paraId="418C0E2B">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5</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9</w:t>
      </w:r>
      <w:r>
        <w:rPr>
          <w:rFonts w:hint="eastAsia" w:ascii="宋体" w:hAnsi="宋体" w:eastAsia="宋体" w:cs="宋体"/>
          <w:b/>
          <w:bCs/>
          <w:color w:val="auto"/>
          <w:szCs w:val="21"/>
          <w:highlight w:val="none"/>
        </w:rPr>
        <w:t>智能开关</w:t>
      </w:r>
    </w:p>
    <w:p w14:paraId="0C7F551F">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为了方便操作，开关机按键位于一体机底部，并凸出底部边框，按键为非金属材质； （提供凸出底部边框的智能开关按键实物照片）</w:t>
      </w:r>
    </w:p>
    <w:p w14:paraId="2BE80902">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6</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10</w:t>
      </w:r>
      <w:r>
        <w:rPr>
          <w:rFonts w:hint="eastAsia" w:ascii="宋体" w:hAnsi="宋体" w:eastAsia="宋体" w:cs="宋体"/>
          <w:b/>
          <w:bCs/>
          <w:color w:val="auto"/>
          <w:szCs w:val="21"/>
          <w:highlight w:val="none"/>
        </w:rPr>
        <w:t>显示器支架</w:t>
      </w:r>
    </w:p>
    <w:p w14:paraId="4D7BEBFE">
      <w:pPr>
        <w:pStyle w:val="2"/>
        <w:keepNext w:val="0"/>
        <w:keepLines w:val="0"/>
        <w:pageBreakBefore w:val="0"/>
        <w:kinsoku/>
        <w:wordWrap/>
        <w:overflowPunct/>
        <w:topLinePunct w:val="0"/>
        <w:autoSpaceDE/>
        <w:autoSpaceDN/>
        <w:bidi w:val="0"/>
        <w:adjustRightInd w:val="0"/>
        <w:snapToGrid w:val="0"/>
        <w:spacing w:before="0" w:beforeAutospacing="0" w:after="0" w:afterAutospacing="0"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显示器支架不占用操作台面空间，支持≥120mm升降；支持俯角≥15°，仰角≥15°调节；线缆完全隐藏于显示器固定支架内，无外漏。</w:t>
      </w:r>
    </w:p>
    <w:p w14:paraId="39DB91CA">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7</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11</w:t>
      </w:r>
      <w:r>
        <w:rPr>
          <w:rFonts w:hint="eastAsia" w:ascii="宋体" w:hAnsi="宋体" w:eastAsia="宋体" w:cs="宋体"/>
          <w:b/>
          <w:bCs/>
          <w:color w:val="auto"/>
          <w:szCs w:val="21"/>
          <w:highlight w:val="none"/>
        </w:rPr>
        <w:t>快拆设计</w:t>
      </w:r>
    </w:p>
    <w:p w14:paraId="7EEAC43F">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一体机支持无工具手动拆装，通过快拆按钮实现一体机快速拆卸安装（提供一体机完整的拆卸安装实物照片证明）</w:t>
      </w:r>
    </w:p>
    <w:p w14:paraId="5DF2EABA">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8</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12</w:t>
      </w:r>
      <w:r>
        <w:rPr>
          <w:rFonts w:hint="eastAsia" w:ascii="宋体" w:hAnsi="宋体" w:eastAsia="宋体" w:cs="宋体"/>
          <w:b/>
          <w:bCs/>
          <w:color w:val="auto"/>
          <w:szCs w:val="21"/>
          <w:highlight w:val="none"/>
        </w:rPr>
        <w:t>台面设计</w:t>
      </w:r>
    </w:p>
    <w:p w14:paraId="499620EE">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台面与键盘托及把手之间无螺丝固定，采用一体压铸成型设计；（需提供实物照片）</w:t>
      </w:r>
    </w:p>
    <w:p w14:paraId="2B0DFC24">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yellow"/>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9</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13</w:t>
      </w:r>
      <w:r>
        <w:rPr>
          <w:rFonts w:hint="eastAsia" w:ascii="宋体" w:hAnsi="宋体" w:eastAsia="宋体" w:cs="宋体"/>
          <w:b/>
          <w:bCs/>
          <w:color w:val="auto"/>
          <w:szCs w:val="21"/>
        </w:rPr>
        <w:t>台面材质</w:t>
      </w:r>
    </w:p>
    <w:p w14:paraId="4B454030">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yellow"/>
        </w:rPr>
      </w:pPr>
      <w:r>
        <w:rPr>
          <w:rFonts w:hint="eastAsia" w:ascii="宋体" w:hAnsi="宋体" w:eastAsia="宋体" w:cs="宋体"/>
          <w:color w:val="auto"/>
          <w:szCs w:val="21"/>
        </w:rPr>
        <w:t>台面采用铝合金材质</w:t>
      </w:r>
    </w:p>
    <w:p w14:paraId="485B08A8">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10</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14</w:t>
      </w:r>
      <w:r>
        <w:rPr>
          <w:rFonts w:hint="eastAsia" w:ascii="宋体" w:hAnsi="宋体" w:eastAsia="宋体" w:cs="宋体"/>
          <w:b/>
          <w:bCs/>
          <w:color w:val="auto"/>
          <w:szCs w:val="21"/>
          <w:highlight w:val="none"/>
        </w:rPr>
        <w:t>台面尺寸</w:t>
      </w:r>
    </w:p>
    <w:p w14:paraId="064CEC87">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操作台面（不含把手和键盘托）尺寸：410mm*410mm±20mm，表面喷涂抗菌性能符合GB/T21866-2025，对大肠杆菌、金色葡萄球菌抗菌率≥99.99%。（提供具有CNAS、CMA认证标识的检测报告）</w:t>
      </w:r>
    </w:p>
    <w:p w14:paraId="1D7911FB">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11</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15</w:t>
      </w:r>
      <w:r>
        <w:rPr>
          <w:rFonts w:hint="eastAsia" w:ascii="宋体" w:hAnsi="宋体" w:eastAsia="宋体" w:cs="宋体"/>
          <w:b/>
          <w:bCs/>
          <w:color w:val="auto"/>
          <w:szCs w:val="21"/>
          <w:highlight w:val="none"/>
        </w:rPr>
        <w:t>防滑围挡设计</w:t>
      </w:r>
    </w:p>
    <w:p w14:paraId="0094B410">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具有与台面一体成型的铝合金材质防滑围挡，围挡高度≥28mm（提供实物照片证明）</w:t>
      </w:r>
    </w:p>
    <w:p w14:paraId="4859222D">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【重点技术指标项</w:t>
      </w:r>
      <w:r>
        <w:rPr>
          <w:rFonts w:hint="eastAsia" w:ascii="宋体" w:hAnsi="宋体" w:eastAsia="宋体" w:cs="宋体"/>
          <w:b/>
          <w:color w:val="auto"/>
          <w:sz w:val="24"/>
          <w:lang w:val="en-US" w:eastAsia="zh-CN"/>
        </w:rPr>
        <w:t>5</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16</w:t>
      </w:r>
      <w:r>
        <w:rPr>
          <w:rFonts w:hint="eastAsia" w:ascii="宋体" w:hAnsi="宋体" w:eastAsia="宋体" w:cs="宋体"/>
          <w:b/>
          <w:bCs/>
          <w:color w:val="auto"/>
          <w:szCs w:val="21"/>
          <w:highlight w:val="none"/>
        </w:rPr>
        <w:t>▲键盘托设计</w:t>
      </w:r>
    </w:p>
    <w:p w14:paraId="7DC4BA25">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键盘托与推车把手采用全铝合金一体成型工艺，功能整合部位无需螺丝安装固定，无需抽拉， 使用便捷。整体向上倾斜10°，契合人体工程学原理。（ 需提供键盘托与推车把手采用全铝合金一体成型、整体向上倾斜10°的实物照片证明 ）</w:t>
      </w:r>
    </w:p>
    <w:p w14:paraId="1A48F9B3">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12</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17</w:t>
      </w:r>
      <w:r>
        <w:rPr>
          <w:rFonts w:hint="eastAsia" w:ascii="宋体" w:hAnsi="宋体" w:eastAsia="宋体" w:cs="宋体"/>
          <w:b/>
          <w:bCs/>
          <w:color w:val="auto"/>
          <w:szCs w:val="21"/>
          <w:highlight w:val="none"/>
        </w:rPr>
        <w:t>鼠标托盘</w:t>
      </w:r>
    </w:p>
    <w:p w14:paraId="1F6FCF87">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配置旋转式鼠标托盘，支持在键盘托左右侧灵活安装，不用时收缩在键盘托内侧，不占用空间；（提供鼠标托盘隐藏和转出键盘托的实物照片证明）</w:t>
      </w:r>
    </w:p>
    <w:p w14:paraId="7BDDFBAF">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13</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18</w:t>
      </w:r>
      <w:r>
        <w:rPr>
          <w:rFonts w:hint="eastAsia" w:ascii="宋体" w:hAnsi="宋体" w:eastAsia="宋体" w:cs="宋体"/>
          <w:b/>
          <w:bCs/>
          <w:color w:val="auto"/>
          <w:szCs w:val="21"/>
          <w:highlight w:val="none"/>
        </w:rPr>
        <w:t>鼠标托盘尺寸</w:t>
      </w:r>
    </w:p>
    <w:p w14:paraId="186499F0">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尺寸≥140mm*140mm；（提供尺寸实测照片）</w:t>
      </w:r>
    </w:p>
    <w:p w14:paraId="019CE687">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14</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19</w:t>
      </w:r>
      <w:r>
        <w:rPr>
          <w:rFonts w:hint="eastAsia" w:ascii="宋体" w:hAnsi="宋体" w:eastAsia="宋体" w:cs="宋体"/>
          <w:b/>
          <w:bCs/>
          <w:color w:val="auto"/>
          <w:szCs w:val="21"/>
          <w:highlight w:val="none"/>
        </w:rPr>
        <w:t>抽屉设计</w:t>
      </w:r>
    </w:p>
    <w:p w14:paraId="195A7875">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抽屉内框架采用铝合金喷涂，面板采用塑料件，车体轻便；抽屉采用全铝合金圆弧形闭环结构拉手，方便抽拉抽屉，易清洁维护；（提供抽屉及抽屉拉手的真机实物照片），抽屉内</w:t>
      </w:r>
      <w:r>
        <w:rPr>
          <w:rFonts w:hint="eastAsia" w:ascii="宋体" w:hAnsi="宋体" w:eastAsia="宋体" w:cs="宋体"/>
          <w:color w:val="auto"/>
          <w:szCs w:val="21"/>
          <w:highlight w:val="none"/>
          <w:lang w:bidi="ar"/>
        </w:rPr>
        <w:t>表面喷涂抗菌性能符合GB/T21866-2025，对大肠杆菌、金色葡萄球菌抗菌率≥99.99%。（提供具有CNAS、CMA认证标识的检测报告）</w:t>
      </w:r>
    </w:p>
    <w:p w14:paraId="172A421E">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15</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20</w:t>
      </w:r>
      <w:r>
        <w:rPr>
          <w:rFonts w:hint="eastAsia" w:ascii="宋体" w:hAnsi="宋体" w:eastAsia="宋体" w:cs="宋体"/>
          <w:b/>
          <w:bCs/>
          <w:color w:val="auto"/>
          <w:szCs w:val="21"/>
        </w:rPr>
        <w:t>抽屉规格</w:t>
      </w:r>
    </w:p>
    <w:p w14:paraId="74A6A6D3">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配置≥4层抽屉，抽屉规格≥2种，小抽屉≥2层，抽屉尺寸：440*300 *100±20mm；大抽屉≥2层，抽屉尺寸≥440 *300*200±20mm；</w:t>
      </w:r>
    </w:p>
    <w:p w14:paraId="5956AC48">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lang w:eastAsia="zh-CN"/>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16</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21</w:t>
      </w:r>
      <w:r>
        <w:rPr>
          <w:rFonts w:hint="eastAsia" w:ascii="宋体" w:hAnsi="宋体" w:eastAsia="宋体" w:cs="宋体"/>
          <w:b/>
          <w:bCs/>
          <w:color w:val="auto"/>
          <w:szCs w:val="21"/>
        </w:rPr>
        <w:t>电源线</w:t>
      </w:r>
      <w:r>
        <w:rPr>
          <w:rFonts w:hint="eastAsia" w:ascii="宋体" w:hAnsi="宋体" w:eastAsia="宋体" w:cs="宋体"/>
          <w:b/>
          <w:bCs/>
          <w:color w:val="auto"/>
          <w:szCs w:val="21"/>
          <w:lang w:eastAsia="zh-CN"/>
        </w:rPr>
        <w:t>，</w:t>
      </w:r>
      <w:r>
        <w:rPr>
          <w:rFonts w:hint="eastAsia" w:ascii="宋体" w:hAnsi="宋体" w:eastAsia="宋体" w:cs="宋体"/>
          <w:b/>
          <w:bCs/>
          <w:color w:val="auto"/>
          <w:szCs w:val="21"/>
        </w:rPr>
        <w:t>脚轮</w:t>
      </w:r>
    </w:p>
    <w:p w14:paraId="4C2013D3">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lang w:eastAsia="zh-CN"/>
        </w:rPr>
      </w:pPr>
      <w:r>
        <w:rPr>
          <w:rFonts w:hint="eastAsia" w:ascii="宋体" w:hAnsi="宋体" w:eastAsia="宋体" w:cs="宋体"/>
          <w:color w:val="auto"/>
          <w:kern w:val="0"/>
          <w:szCs w:val="21"/>
        </w:rPr>
        <w:t>具备电源线</w:t>
      </w:r>
      <w:r>
        <w:rPr>
          <w:rFonts w:hint="eastAsia" w:ascii="宋体" w:hAnsi="宋体" w:eastAsia="宋体" w:cs="宋体"/>
          <w:color w:val="auto"/>
          <w:kern w:val="0"/>
          <w:szCs w:val="21"/>
          <w:lang w:eastAsia="zh-CN"/>
        </w:rPr>
        <w:t>，</w:t>
      </w:r>
      <w:r>
        <w:rPr>
          <w:rFonts w:hint="eastAsia" w:ascii="宋体" w:hAnsi="宋体" w:eastAsia="宋体" w:cs="宋体"/>
          <w:color w:val="auto"/>
          <w:szCs w:val="21"/>
        </w:rPr>
        <w:t>4个医用静音脚轮，，其中2个带刹车锁定功能；</w:t>
      </w:r>
    </w:p>
    <w:p w14:paraId="4072FBB4">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17</w:t>
      </w:r>
      <w:r>
        <w:rPr>
          <w:rFonts w:hint="eastAsia" w:ascii="宋体" w:hAnsi="宋体" w:eastAsia="宋体" w:cs="宋体"/>
          <w:b/>
          <w:color w:val="auto"/>
          <w:sz w:val="24"/>
        </w:rPr>
        <w:t>】</w:t>
      </w:r>
      <w:r>
        <w:rPr>
          <w:rFonts w:hint="eastAsia" w:ascii="宋体" w:hAnsi="宋体" w:eastAsia="宋体" w:cs="宋体"/>
          <w:color w:val="auto"/>
          <w:szCs w:val="21"/>
          <w:highlight w:val="none"/>
          <w:lang w:val="en-US" w:eastAsia="zh-CN"/>
        </w:rPr>
        <w:t xml:space="preserve">22配置无线扫描枪  </w:t>
      </w:r>
    </w:p>
    <w:p w14:paraId="35FE27E5">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电池：≥容量为2730mAh的锂离子电池</w:t>
      </w:r>
    </w:p>
    <w:p w14:paraId="5094053D">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扫描器重量：≤ 195 ± 10g </w:t>
      </w:r>
    </w:p>
    <w:p w14:paraId="347339BB">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充电器/通讯底座：≤150 g (5.29 oz) </w:t>
      </w:r>
    </w:p>
    <w:p w14:paraId="348C7DBB">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运行功率（充电）：&lt;5W ( USB 供电), 5W ( 适配器供电) </w:t>
      </w:r>
    </w:p>
    <w:p w14:paraId="032797A7">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待机功率: 通信底座: &lt;0.625 W </w:t>
      </w:r>
    </w:p>
    <w:p w14:paraId="3FBA49F8">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主机系统接口：USB HID</w:t>
      </w:r>
    </w:p>
    <w:p w14:paraId="4F2E7DC5">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18</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23</w:t>
      </w:r>
      <w:r>
        <w:rPr>
          <w:rFonts w:hint="eastAsia" w:ascii="宋体" w:hAnsi="宋体" w:eastAsia="宋体" w:cs="宋体"/>
          <w:b/>
          <w:bCs/>
          <w:color w:val="auto"/>
          <w:szCs w:val="21"/>
        </w:rPr>
        <w:t>配件</w:t>
      </w:r>
    </w:p>
    <w:p w14:paraId="4B863204">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woUserID w:val="1"/>
        </w:rPr>
      </w:pPr>
      <w:r>
        <w:rPr>
          <w:rFonts w:hint="eastAsia" w:ascii="宋体" w:hAnsi="宋体" w:eastAsia="宋体" w:cs="宋体"/>
          <w:bCs/>
          <w:color w:val="auto"/>
          <w:szCs w:val="21"/>
        </w:rPr>
        <w:t>配件采用模块化设计，可根据需求灵活选配垃圾桶，中置物盒，小置物盒，鼠标盒，多功能置物盒，方便维护更换；</w:t>
      </w:r>
      <w:r>
        <w:rPr>
          <w:rFonts w:hint="eastAsia" w:ascii="宋体" w:hAnsi="宋体" w:eastAsia="宋体" w:cs="宋体"/>
          <w:bCs/>
          <w:color w:val="auto"/>
          <w:szCs w:val="21"/>
          <w:woUserID w:val="1"/>
        </w:rPr>
        <w:t>配置高性能二维影像无线扫码枪（无线电/距离2.4Ghz-2.5Ghz，自适应跳频Bluetoothv5.2，30m视线范围）</w:t>
      </w:r>
    </w:p>
    <w:p w14:paraId="005979C1">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cyan"/>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19</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24</w:t>
      </w:r>
      <w:r>
        <w:rPr>
          <w:rFonts w:hint="eastAsia" w:ascii="宋体" w:hAnsi="宋体" w:eastAsia="宋体" w:cs="宋体"/>
          <w:b/>
          <w:bCs/>
          <w:color w:val="auto"/>
          <w:szCs w:val="21"/>
        </w:rPr>
        <w:t>续航时间</w:t>
      </w:r>
    </w:p>
    <w:p w14:paraId="687319A9">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cyan"/>
        </w:rPr>
      </w:pPr>
      <w:r>
        <w:rPr>
          <w:rFonts w:hint="eastAsia" w:ascii="宋体" w:hAnsi="宋体" w:eastAsia="宋体" w:cs="宋体"/>
          <w:color w:val="auto"/>
          <w:szCs w:val="21"/>
        </w:rPr>
        <w:t>支持≥8小时续航时间；</w:t>
      </w:r>
    </w:p>
    <w:p w14:paraId="5D73CE7C">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20</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25</w:t>
      </w:r>
      <w:r>
        <w:rPr>
          <w:rFonts w:hint="eastAsia" w:ascii="宋体" w:hAnsi="宋体" w:eastAsia="宋体" w:cs="宋体"/>
          <w:b/>
          <w:bCs/>
          <w:color w:val="auto"/>
          <w:szCs w:val="21"/>
          <w:highlight w:val="none"/>
        </w:rPr>
        <w:t>电池仓设计</w:t>
      </w:r>
    </w:p>
    <w:p w14:paraId="09B8FBA4">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电池仓（含电池）集成在一体机上，电池支持快速拆卸安装（提供电池仓含电池集成在一体机上的实物照片）</w:t>
      </w:r>
    </w:p>
    <w:p w14:paraId="3391EADB">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21</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26</w:t>
      </w:r>
      <w:r>
        <w:rPr>
          <w:rFonts w:hint="eastAsia" w:ascii="宋体" w:hAnsi="宋体" w:eastAsia="宋体" w:cs="宋体"/>
          <w:b/>
          <w:bCs/>
          <w:color w:val="auto"/>
          <w:szCs w:val="21"/>
          <w:highlight w:val="none"/>
        </w:rPr>
        <w:t>电池工艺</w:t>
      </w:r>
    </w:p>
    <w:p w14:paraId="578D3A61">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电池采用硬包工艺（提供电池实物照片）</w:t>
      </w:r>
    </w:p>
    <w:p w14:paraId="0784EAA8">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22</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27</w:t>
      </w:r>
      <w:r>
        <w:rPr>
          <w:rFonts w:hint="eastAsia" w:ascii="宋体" w:hAnsi="宋体" w:eastAsia="宋体" w:cs="宋体"/>
          <w:b/>
          <w:bCs/>
          <w:color w:val="auto"/>
          <w:kern w:val="0"/>
          <w:szCs w:val="21"/>
          <w:highlight w:val="none"/>
          <w:lang w:bidi="ar"/>
        </w:rPr>
        <w:t>电池认证</w:t>
      </w:r>
    </w:p>
    <w:p w14:paraId="41D11085">
      <w:pPr>
        <w:keepNext w:val="0"/>
        <w:keepLines w:val="0"/>
        <w:pageBreakBefore w:val="0"/>
        <w:widowControl/>
        <w:kinsoku/>
        <w:wordWrap/>
        <w:overflowPunct/>
        <w:topLinePunct w:val="0"/>
        <w:autoSpaceDE/>
        <w:autoSpaceDN/>
        <w:bidi w:val="0"/>
        <w:spacing w:line="360" w:lineRule="auto"/>
        <w:jc w:val="left"/>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推车使用电池具有CCC认证（提供电池CCC证书，证书委托人是移动推车制造商）</w:t>
      </w:r>
    </w:p>
    <w:p w14:paraId="5349793D">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23</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28</w:t>
      </w:r>
      <w:r>
        <w:rPr>
          <w:rFonts w:hint="eastAsia" w:ascii="宋体" w:hAnsi="宋体" w:eastAsia="宋体" w:cs="宋体"/>
          <w:b/>
          <w:bCs/>
          <w:color w:val="auto"/>
          <w:kern w:val="0"/>
          <w:szCs w:val="21"/>
          <w:highlight w:val="none"/>
          <w:lang w:bidi="ar"/>
        </w:rPr>
        <w:t>电池检测报告</w:t>
      </w:r>
    </w:p>
    <w:p w14:paraId="2ADA7BE3">
      <w:pPr>
        <w:keepNext w:val="0"/>
        <w:keepLines w:val="0"/>
        <w:pageBreakBefore w:val="0"/>
        <w:widowControl/>
        <w:kinsoku/>
        <w:wordWrap/>
        <w:overflowPunct/>
        <w:topLinePunct w:val="0"/>
        <w:autoSpaceDE/>
        <w:autoSpaceDN/>
        <w:bidi w:val="0"/>
        <w:spacing w:line="360" w:lineRule="auto"/>
        <w:jc w:val="left"/>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提供具有CMA标识的《国家强制性产品认证试验报告》（委托人为推车制造商 ）</w:t>
      </w:r>
    </w:p>
    <w:p w14:paraId="0CA8A818">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cyan"/>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24</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29</w:t>
      </w:r>
      <w:r>
        <w:rPr>
          <w:rFonts w:hint="eastAsia" w:ascii="宋体" w:hAnsi="宋体" w:eastAsia="宋体" w:cs="宋体"/>
          <w:b/>
          <w:bCs/>
          <w:color w:val="auto"/>
          <w:kern w:val="0"/>
          <w:szCs w:val="21"/>
        </w:rPr>
        <w:t>个人身份信息安全管理</w:t>
      </w:r>
    </w:p>
    <w:p w14:paraId="1575726D">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cyan"/>
        </w:rPr>
      </w:pPr>
      <w:r>
        <w:rPr>
          <w:rFonts w:hint="eastAsia" w:ascii="宋体" w:hAnsi="宋体" w:eastAsia="宋体" w:cs="宋体"/>
          <w:color w:val="auto"/>
          <w:kern w:val="0"/>
          <w:szCs w:val="21"/>
        </w:rPr>
        <w:t>保障用户信息和数据安全，制造商需通过ISO 27018公有云个人可识别信息保护管理体系认证。（提供制造商认证证书复印件）</w:t>
      </w:r>
    </w:p>
    <w:p w14:paraId="5C426805">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cyan"/>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25</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30</w:t>
      </w:r>
      <w:r>
        <w:rPr>
          <w:rFonts w:hint="eastAsia" w:ascii="宋体" w:hAnsi="宋体" w:eastAsia="宋体" w:cs="宋体"/>
          <w:b/>
          <w:bCs/>
          <w:color w:val="auto"/>
          <w:kern w:val="0"/>
          <w:szCs w:val="21"/>
        </w:rPr>
        <w:t>云服务信息安全管理</w:t>
      </w:r>
    </w:p>
    <w:p w14:paraId="71085530">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cyan"/>
        </w:rPr>
      </w:pPr>
      <w:r>
        <w:rPr>
          <w:rFonts w:hint="eastAsia" w:ascii="宋体" w:hAnsi="宋体" w:eastAsia="宋体" w:cs="宋体"/>
          <w:color w:val="auto"/>
          <w:kern w:val="0"/>
          <w:szCs w:val="21"/>
        </w:rPr>
        <w:t>保障云服务信息系统和数据安全，制造商需通过ISO 27017云服务信息安全管理体系认证。（提供制造商认证证书复印件）</w:t>
      </w:r>
    </w:p>
    <w:p w14:paraId="0DB22102">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26</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31</w:t>
      </w:r>
      <w:r>
        <w:rPr>
          <w:rFonts w:hint="eastAsia" w:ascii="宋体" w:hAnsi="宋体" w:eastAsia="宋体" w:cs="宋体"/>
          <w:b/>
          <w:bCs/>
          <w:color w:val="auto"/>
          <w:szCs w:val="21"/>
          <w:highlight w:val="none"/>
        </w:rPr>
        <w:t>设备管理功能</w:t>
      </w:r>
    </w:p>
    <w:p w14:paraId="744EBDA7">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支持实时显示设备所属科室、电池剩余时长、设备 Mac地址、设备类型、主板序列号，一体机序列号，固件版本号等。（提供真机相关功能实拍照片并在投标现场提供样机演示相关功能）</w:t>
      </w:r>
    </w:p>
    <w:p w14:paraId="5BDEF711">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kern w:val="0"/>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27</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32</w:t>
      </w:r>
      <w:r>
        <w:rPr>
          <w:rFonts w:hint="eastAsia" w:ascii="宋体" w:hAnsi="宋体" w:eastAsia="宋体" w:cs="宋体"/>
          <w:b/>
          <w:bCs/>
          <w:color w:val="auto"/>
          <w:szCs w:val="21"/>
          <w:highlight w:val="none"/>
        </w:rPr>
        <w:t>进程监控功能</w:t>
      </w:r>
    </w:p>
    <w:p w14:paraId="567084BA">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支持实时查看设备内存使用情况，CPU使用情况，CPU温度，管理应用程序（提供真机相关功能实拍照片并在投标现场提供样机演示相关功能）</w:t>
      </w:r>
    </w:p>
    <w:p w14:paraId="2FB0B24C">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kern w:val="0"/>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28</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33</w:t>
      </w:r>
      <w:r>
        <w:rPr>
          <w:rFonts w:hint="eastAsia" w:ascii="宋体" w:hAnsi="宋体" w:eastAsia="宋体" w:cs="宋体"/>
          <w:b/>
          <w:bCs/>
          <w:color w:val="auto"/>
          <w:szCs w:val="21"/>
          <w:highlight w:val="none"/>
        </w:rPr>
        <w:t>电池管理功能</w:t>
      </w:r>
    </w:p>
    <w:p w14:paraId="149016B7">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支持监控设备电池当前电量值、昨日和今日的电池电量使用情况；管理员模式下可查看电池详细信息，包括电池编号，电压，电流，电池状态，温度，累计充放电次数和充放电时长（提供真机相关功能实拍照片或在投标现场提供样机演示相关功能）</w:t>
      </w:r>
    </w:p>
    <w:p w14:paraId="70E7AC0C">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29</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34</w:t>
      </w:r>
      <w:r>
        <w:rPr>
          <w:rFonts w:hint="eastAsia" w:ascii="宋体" w:hAnsi="宋体" w:eastAsia="宋体" w:cs="宋体"/>
          <w:b/>
          <w:bCs/>
          <w:color w:val="auto"/>
          <w:szCs w:val="21"/>
          <w:highlight w:val="none"/>
        </w:rPr>
        <w:t>网络管理功能</w:t>
      </w:r>
    </w:p>
    <w:p w14:paraId="5498FF68">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支持在软件上连接WIFI和查看蓝牙信息（提供真机相关功能实拍照片或在投标现场提供样机演示相关功能）</w:t>
      </w:r>
    </w:p>
    <w:p w14:paraId="6AF0CDEB">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30</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35</w:t>
      </w:r>
      <w:r>
        <w:rPr>
          <w:rFonts w:hint="eastAsia" w:ascii="宋体" w:hAnsi="宋体" w:eastAsia="宋体" w:cs="宋体"/>
          <w:b/>
          <w:bCs/>
          <w:color w:val="auto"/>
          <w:szCs w:val="21"/>
          <w:highlight w:val="none"/>
        </w:rPr>
        <w:t>节能管理功能</w:t>
      </w:r>
    </w:p>
    <w:p w14:paraId="38A4B836">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支持省电模式，待机模式，休眠模式三种模式，进入模式的时间可自定义设置（提供真机相关功能实拍照片或在投标现场提供样机演示相关功能）</w:t>
      </w:r>
    </w:p>
    <w:p w14:paraId="5F1E88C3">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31</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36</w:t>
      </w:r>
      <w:r>
        <w:rPr>
          <w:rFonts w:hint="eastAsia" w:ascii="宋体" w:hAnsi="宋体" w:eastAsia="宋体" w:cs="宋体"/>
          <w:b/>
          <w:bCs/>
          <w:color w:val="auto"/>
          <w:szCs w:val="21"/>
          <w:highlight w:val="none"/>
        </w:rPr>
        <w:t>异常提示功能</w:t>
      </w:r>
    </w:p>
    <w:p w14:paraId="582C6F38">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支持桌面和软件界面的电池低电量弹窗提醒，电池充放电温度异常弹窗提醒（提供真机相关功能实拍照片或在投标现场提供样机演示相关功能）</w:t>
      </w:r>
    </w:p>
    <w:p w14:paraId="42779F16">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宋体" w:hAnsi="宋体" w:eastAsia="宋体" w:cs="宋体"/>
          <w:b/>
          <w:bCs/>
          <w:color w:val="auto"/>
          <w:szCs w:val="21"/>
          <w:highlight w:val="none"/>
        </w:rPr>
      </w:pPr>
      <w:r>
        <w:rPr>
          <w:rFonts w:hint="eastAsia" w:ascii="宋体" w:hAnsi="宋体" w:eastAsia="宋体" w:cs="宋体"/>
          <w:b/>
          <w:color w:val="auto"/>
          <w:sz w:val="24"/>
        </w:rPr>
        <w:t>【评分项</w:t>
      </w:r>
      <w:r>
        <w:rPr>
          <w:rFonts w:hint="eastAsia" w:ascii="宋体" w:hAnsi="宋体" w:eastAsia="宋体" w:cs="宋体"/>
          <w:b/>
          <w:color w:val="auto"/>
          <w:sz w:val="24"/>
          <w:lang w:val="en-US" w:eastAsia="zh-CN"/>
        </w:rPr>
        <w:t>32</w:t>
      </w:r>
      <w:r>
        <w:rPr>
          <w:rFonts w:hint="eastAsia" w:ascii="宋体" w:hAnsi="宋体" w:eastAsia="宋体" w:cs="宋体"/>
          <w:b/>
          <w:color w:val="auto"/>
          <w:sz w:val="24"/>
        </w:rPr>
        <w:t>】</w:t>
      </w:r>
      <w:r>
        <w:rPr>
          <w:rFonts w:hint="eastAsia" w:ascii="宋体" w:hAnsi="宋体" w:eastAsia="宋体" w:cs="宋体"/>
          <w:b/>
          <w:bCs/>
          <w:i w:val="0"/>
          <w:iCs w:val="0"/>
          <w:color w:val="auto"/>
          <w:kern w:val="0"/>
          <w:sz w:val="22"/>
          <w:szCs w:val="22"/>
          <w:u w:val="none"/>
          <w:lang w:val="en-US" w:eastAsia="zh-CN" w:bidi="ar"/>
        </w:rPr>
        <w:t>37</w:t>
      </w:r>
      <w:r>
        <w:rPr>
          <w:rFonts w:hint="eastAsia" w:ascii="宋体" w:hAnsi="宋体" w:eastAsia="宋体" w:cs="宋体"/>
          <w:b/>
          <w:bCs/>
          <w:color w:val="auto"/>
          <w:szCs w:val="21"/>
          <w:highlight w:val="none"/>
        </w:rPr>
        <w:t>系统设置功能</w:t>
      </w:r>
    </w:p>
    <w:p w14:paraId="17CB7565">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支持屏幕亮度自定义，支持语言切换，支持低电量警告设置；管理员模式下：支持充电高温告警，放电高温告警的温度设置，以及电池亚健康提醒设置，电池日志存储设置（提供真机相关功能实拍照片或在投标现场提供样机演示相关功能）</w:t>
      </w:r>
    </w:p>
    <w:p w14:paraId="7BD94FB2">
      <w:pPr>
        <w:pStyle w:val="5"/>
        <w:keepNext w:val="0"/>
        <w:keepLines w:val="0"/>
        <w:pageBreakBefore w:val="0"/>
        <w:kinsoku/>
        <w:wordWrap/>
        <w:overflowPunct/>
        <w:topLinePunct w:val="0"/>
        <w:autoSpaceDE/>
        <w:autoSpaceDN/>
        <w:bidi w:val="0"/>
        <w:spacing w:line="360" w:lineRule="auto"/>
        <w:jc w:val="left"/>
        <w:outlineLvl w:val="2"/>
        <w:rPr>
          <w:rFonts w:hint="default" w:ascii="宋体" w:hAnsi="宋体" w:eastAsia="宋体" w:cs="宋体"/>
          <w:b/>
          <w:color w:val="auto"/>
          <w:sz w:val="24"/>
          <w:szCs w:val="24"/>
          <w:lang w:val="en-US"/>
        </w:rPr>
      </w:pPr>
      <w:r>
        <w:rPr>
          <w:rFonts w:hint="eastAsia" w:ascii="宋体" w:hAnsi="宋体" w:eastAsia="宋体" w:cs="宋体"/>
          <w:b/>
          <w:color w:val="auto"/>
          <w:sz w:val="24"/>
        </w:rPr>
        <w:t>【重点技术指标项</w:t>
      </w:r>
      <w:r>
        <w:rPr>
          <w:rFonts w:hint="eastAsia" w:ascii="宋体" w:hAnsi="宋体" w:eastAsia="宋体" w:cs="宋体"/>
          <w:b/>
          <w:color w:val="auto"/>
          <w:sz w:val="24"/>
          <w:lang w:val="en-US" w:eastAsia="zh-CN"/>
        </w:rPr>
        <w:t>6</w:t>
      </w:r>
      <w:r>
        <w:rPr>
          <w:rFonts w:hint="eastAsia" w:ascii="宋体" w:hAnsi="宋体" w:eastAsia="宋体" w:cs="宋体"/>
          <w:b/>
          <w:color w:val="auto"/>
          <w:sz w:val="24"/>
        </w:rPr>
        <w:t>】</w:t>
      </w:r>
      <w:r>
        <w:rPr>
          <w:rFonts w:hint="eastAsia" w:ascii="宋体" w:hAnsi="宋体" w:eastAsia="宋体" w:cs="宋体"/>
          <w:b/>
          <w:bCs/>
          <w:color w:val="auto"/>
          <w:szCs w:val="21"/>
          <w:highlight w:val="none"/>
        </w:rPr>
        <w:t>▲</w:t>
      </w:r>
      <w:r>
        <w:rPr>
          <w:rFonts w:hint="eastAsia" w:ascii="宋体" w:hAnsi="宋体" w:eastAsia="宋体" w:cs="宋体"/>
          <w:b/>
          <w:color w:val="auto"/>
          <w:sz w:val="24"/>
          <w:lang w:val="en-US" w:eastAsia="zh-CN"/>
        </w:rPr>
        <w:t>38</w:t>
      </w:r>
      <w:r>
        <w:rPr>
          <w:rFonts w:hint="eastAsia" w:ascii="宋体" w:hAnsi="宋体" w:eastAsia="宋体" w:cs="宋体"/>
          <w:color w:val="auto"/>
          <w:szCs w:val="21"/>
          <w:highlight w:val="none"/>
          <w:lang w:val="en-US" w:eastAsia="zh-CN"/>
        </w:rPr>
        <w:t>供应商须保证所投产品能与现有的医院系统无缝兼容且适配并提供专项承诺函，未提供按无效投标处理。供应商应当遵循诚实守信的原则，不得作出虚假承诺，承诺不实的，属于提供虚假材料谋取中标、成交，依法追究相关的法律责任。（提供承诺函，格式自拟）</w:t>
      </w:r>
    </w:p>
    <w:p w14:paraId="5E8AD429">
      <w:pPr>
        <w:pStyle w:val="5"/>
        <w:spacing w:line="360" w:lineRule="auto"/>
        <w:jc w:val="left"/>
        <w:outlineLvl w:val="2"/>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三、配置清单：</w:t>
      </w:r>
    </w:p>
    <w:p w14:paraId="4291BDFA">
      <w:pPr>
        <w:widowControl/>
        <w:numPr>
          <w:ilvl w:val="0"/>
          <w:numId w:val="0"/>
        </w:numPr>
        <w:ind w:firstLine="200" w:firstLineChars="100"/>
        <w:rPr>
          <w:rFonts w:hint="eastAsia" w:ascii="宋体" w:hAnsi="宋体" w:eastAsia="宋体" w:cs="宋体"/>
          <w:color w:val="auto"/>
          <w:kern w:val="0"/>
          <w:sz w:val="20"/>
          <w:szCs w:val="21"/>
          <w:highlight w:val="none"/>
          <w:lang w:val="en-US" w:eastAsia="zh-CN"/>
        </w:rPr>
      </w:pPr>
      <w:r>
        <w:rPr>
          <w:rFonts w:hint="eastAsia" w:ascii="宋体" w:hAnsi="宋体" w:eastAsia="宋体" w:cs="宋体"/>
          <w:color w:val="auto"/>
          <w:kern w:val="0"/>
          <w:sz w:val="20"/>
          <w:szCs w:val="21"/>
          <w:highlight w:val="none"/>
          <w:lang w:val="en-US" w:eastAsia="zh-CN"/>
        </w:rPr>
        <w:t>1．移动护理车          2套</w:t>
      </w:r>
    </w:p>
    <w:p w14:paraId="07915C25">
      <w:pPr>
        <w:pStyle w:val="5"/>
        <w:spacing w:line="360" w:lineRule="auto"/>
        <w:jc w:val="left"/>
        <w:outlineLvl w:val="2"/>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四、售后服务方案</w:t>
      </w:r>
    </w:p>
    <w:p w14:paraId="6C87DE27">
      <w:pPr>
        <w:widowControl/>
        <w:numPr>
          <w:ilvl w:val="0"/>
          <w:numId w:val="0"/>
        </w:numPr>
        <w:ind w:firstLine="200" w:firstLineChars="100"/>
        <w:rPr>
          <w:rFonts w:hint="eastAsia" w:ascii="宋体" w:hAnsi="宋体" w:eastAsia="宋体" w:cs="宋体"/>
          <w:color w:val="auto"/>
          <w:kern w:val="0"/>
          <w:sz w:val="20"/>
          <w:szCs w:val="21"/>
          <w:highlight w:val="none"/>
          <w:lang w:val="en-US" w:eastAsia="zh-CN"/>
        </w:rPr>
      </w:pPr>
      <w:r>
        <w:rPr>
          <w:rFonts w:hint="eastAsia" w:ascii="宋体" w:hAnsi="宋体" w:eastAsia="宋体" w:cs="宋体"/>
          <w:color w:val="auto"/>
          <w:kern w:val="0"/>
          <w:sz w:val="20"/>
          <w:szCs w:val="21"/>
          <w:highlight w:val="none"/>
          <w:lang w:val="en-US" w:eastAsia="zh-CN"/>
        </w:rPr>
        <w:t>1.货物免费原厂维保期要求均为货物经最终验收合格后36个月，在质量保证期内设备运行发生故障时，乙方在接到甲方故障通知后2小时内回应，委派专业技术人员到现场免费提供咨询、维修和更换零部件等服务，并及时填写维修报告（包括故障原因、处理情况及甲方意见等）报甲方备案，若48小时内无法排除故障，则应先提供同档次备用机供甲方使用。其中发生一切费用由乙方承担。质量保证期内乙方有责任对设备进行不定期的巡查检修。投标人视自身能力在投标文件中提供更优、更合理的维修服务承诺。</w:t>
      </w:r>
    </w:p>
    <w:p w14:paraId="64A8BB40">
      <w:pPr>
        <w:widowControl/>
        <w:numPr>
          <w:ilvl w:val="0"/>
          <w:numId w:val="0"/>
        </w:numPr>
        <w:ind w:firstLine="200" w:firstLineChars="100"/>
        <w:rPr>
          <w:rFonts w:hint="eastAsia" w:ascii="宋体" w:hAnsi="宋体" w:eastAsia="宋体" w:cs="宋体"/>
          <w:color w:val="auto"/>
          <w:kern w:val="0"/>
          <w:sz w:val="20"/>
          <w:szCs w:val="21"/>
          <w:highlight w:val="none"/>
          <w:lang w:val="en-US" w:eastAsia="zh-CN"/>
        </w:rPr>
      </w:pPr>
      <w:r>
        <w:rPr>
          <w:rFonts w:hint="eastAsia" w:ascii="宋体" w:hAnsi="宋体" w:eastAsia="宋体" w:cs="宋体"/>
          <w:color w:val="auto"/>
          <w:kern w:val="0"/>
          <w:sz w:val="20"/>
          <w:szCs w:val="21"/>
          <w:highlight w:val="none"/>
          <w:lang w:val="en-US" w:eastAsia="zh-CN"/>
        </w:rPr>
        <w:t>2.质保期满前1个月内成交供应商应就所有货物进行一次全面检查，并写出正式报告，如发现潜在问题，应负责排除。如出现质量问题，在质保期内对货物进行维修和零配件的更换。</w:t>
      </w:r>
    </w:p>
    <w:p w14:paraId="2C1B7BE0">
      <w:pPr>
        <w:widowControl/>
        <w:numPr>
          <w:ilvl w:val="0"/>
          <w:numId w:val="0"/>
        </w:numPr>
        <w:ind w:firstLine="200" w:firstLineChars="100"/>
        <w:rPr>
          <w:rFonts w:hint="eastAsia" w:ascii="宋体" w:hAnsi="宋体" w:eastAsia="宋体" w:cs="宋体"/>
          <w:color w:val="auto"/>
          <w:kern w:val="0"/>
          <w:sz w:val="20"/>
          <w:szCs w:val="21"/>
          <w:highlight w:val="none"/>
          <w:lang w:val="en-US" w:eastAsia="zh-CN"/>
        </w:rPr>
      </w:pPr>
      <w:r>
        <w:rPr>
          <w:rFonts w:hint="eastAsia" w:ascii="宋体" w:hAnsi="宋体" w:eastAsia="宋体" w:cs="宋体"/>
          <w:color w:val="auto"/>
          <w:kern w:val="0"/>
          <w:sz w:val="20"/>
          <w:szCs w:val="21"/>
          <w:highlight w:val="none"/>
          <w:lang w:val="en-US" w:eastAsia="zh-CN"/>
        </w:rPr>
        <w:t>3.质保期内，谈判响应供应商应提供免费的技术支持和技术升级服务。主要培训内容包括货物及主要部件的基本构造、功能、安装、调试、日常操作、实验项目、保养与管理、常见故障的排除、紧急情况的处理等。</w:t>
      </w:r>
    </w:p>
    <w:p w14:paraId="6CD0A82A">
      <w:pPr>
        <w:widowControl/>
        <w:numPr>
          <w:ilvl w:val="0"/>
          <w:numId w:val="0"/>
        </w:numPr>
        <w:ind w:firstLine="200" w:firstLineChars="100"/>
        <w:rPr>
          <w:rFonts w:hint="eastAsia" w:ascii="宋体" w:hAnsi="宋体" w:eastAsia="宋体" w:cs="宋体"/>
          <w:color w:val="auto"/>
          <w:kern w:val="0"/>
          <w:sz w:val="20"/>
          <w:szCs w:val="21"/>
          <w:highlight w:val="none"/>
          <w:lang w:val="en-US" w:eastAsia="zh-CN"/>
        </w:rPr>
      </w:pPr>
      <w:r>
        <w:rPr>
          <w:rFonts w:hint="eastAsia" w:ascii="宋体" w:hAnsi="宋体" w:eastAsia="宋体" w:cs="宋体"/>
          <w:color w:val="auto"/>
          <w:kern w:val="0"/>
          <w:sz w:val="20"/>
          <w:szCs w:val="21"/>
          <w:highlight w:val="none"/>
          <w:lang w:val="en-US" w:eastAsia="zh-CN"/>
        </w:rPr>
        <w:t>4.质保期后技术服务内容：质保期满后，成交供应商仍应提供定期维护和修理，维修仅收取零配件费用。</w:t>
      </w:r>
    </w:p>
    <w:p w14:paraId="1E640CA7">
      <w:pPr>
        <w:pStyle w:val="5"/>
        <w:spacing w:line="360" w:lineRule="auto"/>
        <w:jc w:val="left"/>
        <w:outlineLvl w:val="2"/>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五、培训要求</w:t>
      </w:r>
    </w:p>
    <w:p w14:paraId="5AB37AAF">
      <w:pPr>
        <w:widowControl/>
        <w:numPr>
          <w:ilvl w:val="0"/>
          <w:numId w:val="0"/>
        </w:numPr>
        <w:ind w:firstLine="200" w:firstLineChars="100"/>
        <w:rPr>
          <w:rFonts w:hint="eastAsia" w:ascii="宋体" w:hAnsi="宋体" w:eastAsia="宋体" w:cs="宋体"/>
          <w:color w:val="auto"/>
          <w:kern w:val="0"/>
          <w:sz w:val="20"/>
          <w:szCs w:val="21"/>
          <w:highlight w:val="none"/>
          <w:lang w:val="en-US" w:eastAsia="zh-CN"/>
        </w:rPr>
      </w:pPr>
      <w:r>
        <w:rPr>
          <w:rFonts w:hint="eastAsia" w:ascii="宋体" w:hAnsi="宋体" w:eastAsia="宋体" w:cs="宋体"/>
          <w:color w:val="auto"/>
          <w:kern w:val="0"/>
          <w:sz w:val="20"/>
          <w:szCs w:val="21"/>
          <w:highlight w:val="none"/>
          <w:lang w:val="en-US" w:eastAsia="zh-CN"/>
        </w:rPr>
        <w:t>1.成交供应商提供现场技术培训，保证使用人员正确操作设备的各种功能，维修人员能进行常规维护、检修与保养。</w:t>
      </w:r>
    </w:p>
    <w:p w14:paraId="2D04AC6C">
      <w:pPr>
        <w:widowControl/>
        <w:numPr>
          <w:ilvl w:val="0"/>
          <w:numId w:val="0"/>
        </w:numPr>
        <w:ind w:firstLine="200" w:firstLineChars="100"/>
        <w:rPr>
          <w:rFonts w:hint="eastAsia" w:ascii="宋体" w:hAnsi="宋体" w:eastAsia="宋体" w:cs="宋体"/>
          <w:color w:val="auto"/>
          <w:kern w:val="0"/>
          <w:sz w:val="20"/>
          <w:szCs w:val="21"/>
          <w:highlight w:val="none"/>
          <w:lang w:val="en-US" w:eastAsia="zh-CN"/>
        </w:rPr>
      </w:pPr>
      <w:r>
        <w:rPr>
          <w:rFonts w:hint="eastAsia" w:ascii="宋体" w:hAnsi="宋体" w:eastAsia="宋体" w:cs="宋体"/>
          <w:color w:val="auto"/>
          <w:kern w:val="0"/>
          <w:sz w:val="20"/>
          <w:szCs w:val="21"/>
          <w:highlight w:val="none"/>
          <w:lang w:val="en-US" w:eastAsia="zh-CN"/>
        </w:rPr>
        <w:t>2.供应商应提供现场人员的培训，包括但不限于操作培训、保养培训和维修培训，并提供书面承诺和培训方案；培训使用单位操作人员直到熟悉为止（所有培训不再另行收取费用）。</w:t>
      </w:r>
    </w:p>
    <w:p w14:paraId="44457E5F">
      <w:pPr>
        <w:pStyle w:val="5"/>
        <w:spacing w:line="360" w:lineRule="auto"/>
        <w:jc w:val="left"/>
        <w:outlineLvl w:val="2"/>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六、评分表</w:t>
      </w:r>
    </w:p>
    <w:p w14:paraId="3E796A89">
      <w:pPr>
        <w:pStyle w:val="5"/>
        <w:spacing w:line="360" w:lineRule="auto"/>
        <w:jc w:val="left"/>
        <w:outlineLvl w:val="2"/>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价格部分满分30分</w:t>
      </w:r>
    </w:p>
    <w:p w14:paraId="384C20DC">
      <w:pPr>
        <w:pStyle w:val="5"/>
        <w:jc w:val="left"/>
        <w:rPr>
          <w:rFonts w:hint="eastAsia" w:ascii="宋体" w:hAnsi="宋体" w:eastAsia="宋体" w:cs="宋体"/>
          <w:color w:val="auto"/>
          <w:highlight w:val="yellow"/>
        </w:rPr>
      </w:pPr>
      <w:r>
        <w:rPr>
          <w:rFonts w:hint="eastAsia" w:ascii="宋体" w:hAnsi="宋体" w:eastAsia="宋体" w:cs="宋体"/>
          <w:color w:val="auto"/>
        </w:rPr>
        <w:t>技术部分评分PT 满分为</w:t>
      </w:r>
      <w:r>
        <w:rPr>
          <w:rFonts w:hint="eastAsia" w:ascii="宋体" w:hAnsi="宋体" w:eastAsia="宋体" w:cs="宋体"/>
          <w:color w:val="auto"/>
          <w:highlight w:val="none"/>
          <w:lang w:val="en-US" w:eastAsia="zh-CN"/>
        </w:rPr>
        <w:t>60</w:t>
      </w:r>
      <w:r>
        <w:rPr>
          <w:rFonts w:hint="eastAsia" w:ascii="宋体" w:hAnsi="宋体" w:eastAsia="宋体" w:cs="宋体"/>
          <w:color w:val="auto"/>
          <w:highlight w:val="none"/>
        </w:rPr>
        <w:t>分</w:t>
      </w:r>
    </w:p>
    <w:tbl>
      <w:tblPr>
        <w:tblStyle w:val="3"/>
        <w:tblW w:w="9745" w:type="dxa"/>
        <w:tblInd w:w="-53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98"/>
        <w:gridCol w:w="805"/>
        <w:gridCol w:w="859"/>
        <w:gridCol w:w="6183"/>
      </w:tblGrid>
      <w:tr w14:paraId="1034C5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1" w:hRule="atLeast"/>
        </w:trPr>
        <w:tc>
          <w:tcPr>
            <w:tcW w:w="1898" w:type="dxa"/>
          </w:tcPr>
          <w:p w14:paraId="7BD7E204">
            <w:pPr>
              <w:pStyle w:val="5"/>
              <w:jc w:val="left"/>
              <w:rPr>
                <w:rFonts w:hint="eastAsia" w:ascii="宋体" w:hAnsi="宋体" w:eastAsia="宋体" w:cs="宋体"/>
                <w:color w:val="auto"/>
              </w:rPr>
            </w:pPr>
            <w:r>
              <w:rPr>
                <w:rFonts w:hint="eastAsia" w:ascii="宋体" w:hAnsi="宋体" w:eastAsia="宋体" w:cs="宋体"/>
                <w:color w:val="auto"/>
              </w:rPr>
              <w:t>项目</w:t>
            </w:r>
          </w:p>
        </w:tc>
        <w:tc>
          <w:tcPr>
            <w:tcW w:w="805" w:type="dxa"/>
          </w:tcPr>
          <w:p w14:paraId="32D94E0C">
            <w:pPr>
              <w:pStyle w:val="5"/>
              <w:jc w:val="left"/>
              <w:rPr>
                <w:rFonts w:hint="eastAsia" w:ascii="宋体" w:hAnsi="宋体" w:eastAsia="宋体" w:cs="宋体"/>
                <w:color w:val="auto"/>
              </w:rPr>
            </w:pPr>
            <w:r>
              <w:rPr>
                <w:rFonts w:hint="eastAsia" w:ascii="宋体" w:hAnsi="宋体" w:eastAsia="宋体" w:cs="宋体"/>
                <w:color w:val="auto"/>
              </w:rPr>
              <w:t>分值</w:t>
            </w:r>
          </w:p>
        </w:tc>
        <w:tc>
          <w:tcPr>
            <w:tcW w:w="859" w:type="dxa"/>
          </w:tcPr>
          <w:p w14:paraId="74B34864">
            <w:pPr>
              <w:pStyle w:val="5"/>
              <w:jc w:val="left"/>
              <w:rPr>
                <w:rFonts w:hint="eastAsia" w:ascii="宋体" w:hAnsi="宋体" w:eastAsia="宋体" w:cs="宋体"/>
                <w:color w:val="auto"/>
              </w:rPr>
            </w:pPr>
            <w:r>
              <w:rPr>
                <w:rFonts w:hint="eastAsia" w:ascii="宋体" w:hAnsi="宋体" w:eastAsia="宋体" w:cs="宋体"/>
                <w:color w:val="auto"/>
              </w:rPr>
              <w:t>是否客观项</w:t>
            </w:r>
          </w:p>
        </w:tc>
        <w:tc>
          <w:tcPr>
            <w:tcW w:w="6183" w:type="dxa"/>
          </w:tcPr>
          <w:p w14:paraId="62DD65CD">
            <w:pPr>
              <w:pStyle w:val="5"/>
              <w:jc w:val="left"/>
              <w:rPr>
                <w:rFonts w:hint="eastAsia" w:ascii="宋体" w:hAnsi="宋体" w:eastAsia="宋体" w:cs="宋体"/>
                <w:color w:val="auto"/>
              </w:rPr>
            </w:pPr>
            <w:r>
              <w:rPr>
                <w:rFonts w:hint="eastAsia" w:ascii="宋体" w:hAnsi="宋体" w:eastAsia="宋体" w:cs="宋体"/>
                <w:color w:val="auto"/>
              </w:rPr>
              <w:t>描述</w:t>
            </w:r>
          </w:p>
        </w:tc>
      </w:tr>
      <w:tr w14:paraId="343C02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98" w:type="dxa"/>
            <w:vAlign w:val="top"/>
          </w:tcPr>
          <w:p w14:paraId="522FB7F9">
            <w:pPr>
              <w:pStyle w:val="5"/>
              <w:jc w:val="left"/>
              <w:rPr>
                <w:rFonts w:hint="eastAsia" w:ascii="宋体" w:hAnsi="宋体" w:eastAsia="宋体" w:cs="宋体"/>
                <w:color w:val="auto"/>
                <w:lang w:val="en-US" w:eastAsia="zh-CN"/>
              </w:rPr>
            </w:pPr>
            <w:r>
              <w:rPr>
                <w:rFonts w:hint="eastAsia" w:ascii="宋体" w:hAnsi="宋体" w:eastAsia="宋体" w:cs="宋体"/>
                <w:color w:val="auto"/>
              </w:rPr>
              <w:t>1.重点参数响应情况</w:t>
            </w:r>
          </w:p>
        </w:tc>
        <w:tc>
          <w:tcPr>
            <w:tcW w:w="805" w:type="dxa"/>
            <w:vAlign w:val="top"/>
          </w:tcPr>
          <w:p w14:paraId="16D0FA9A">
            <w:pPr>
              <w:pStyle w:val="5"/>
              <w:jc w:val="right"/>
              <w:rPr>
                <w:rFonts w:hint="default" w:ascii="宋体" w:hAnsi="宋体" w:eastAsia="宋体" w:cs="宋体"/>
                <w:color w:val="auto"/>
                <w:lang w:val="en-US" w:eastAsia="zh-CN"/>
              </w:rPr>
            </w:pPr>
            <w:r>
              <w:rPr>
                <w:rFonts w:hint="eastAsia" w:ascii="宋体" w:hAnsi="宋体" w:eastAsia="宋体" w:cs="宋体"/>
                <w:color w:val="auto"/>
                <w:highlight w:val="none"/>
                <w:lang w:val="en-US" w:eastAsia="zh-CN"/>
              </w:rPr>
              <w:t>18</w:t>
            </w:r>
          </w:p>
        </w:tc>
        <w:tc>
          <w:tcPr>
            <w:tcW w:w="859" w:type="dxa"/>
            <w:vAlign w:val="top"/>
          </w:tcPr>
          <w:p w14:paraId="42CC6AEC">
            <w:pPr>
              <w:pStyle w:val="5"/>
              <w:jc w:val="left"/>
              <w:rPr>
                <w:rFonts w:hint="eastAsia" w:ascii="宋体" w:hAnsi="宋体" w:eastAsia="宋体" w:cs="宋体"/>
                <w:color w:val="auto"/>
              </w:rPr>
            </w:pPr>
            <w:r>
              <w:rPr>
                <w:rFonts w:hint="eastAsia" w:ascii="宋体" w:hAnsi="宋体" w:eastAsia="宋体" w:cs="宋体"/>
                <w:color w:val="auto"/>
              </w:rPr>
              <w:t>是</w:t>
            </w:r>
          </w:p>
        </w:tc>
        <w:tc>
          <w:tcPr>
            <w:tcW w:w="6183" w:type="dxa"/>
            <w:vAlign w:val="top"/>
          </w:tcPr>
          <w:p w14:paraId="39F0C522">
            <w:pPr>
              <w:pStyle w:val="5"/>
              <w:jc w:val="left"/>
              <w:rPr>
                <w:rFonts w:hint="eastAsia" w:ascii="宋体" w:hAnsi="宋体" w:eastAsia="宋体" w:cs="宋体"/>
                <w:color w:val="auto"/>
              </w:rPr>
            </w:pPr>
            <w:r>
              <w:rPr>
                <w:rFonts w:hint="eastAsia" w:ascii="宋体" w:hAnsi="宋体" w:eastAsia="宋体" w:cs="宋体"/>
                <w:color w:val="auto"/>
              </w:rPr>
              <w:t>根据投标人对招标文件第五章技术和服务要求的各项重点参数技术要求的逐项应答情况并结合相关佐证材料由评委进行评议并评分，全部满足要求的得18分，（</w:t>
            </w:r>
            <w:r>
              <w:rPr>
                <w:rFonts w:hint="eastAsia" w:ascii="宋体" w:hAnsi="宋体" w:eastAsia="宋体" w:cs="宋体"/>
                <w:color w:val="auto"/>
                <w:lang w:val="en-US" w:eastAsia="zh-CN"/>
              </w:rPr>
              <w:t>1</w:t>
            </w:r>
            <w:r>
              <w:rPr>
                <w:rFonts w:hint="eastAsia" w:ascii="宋体" w:hAnsi="宋体" w:eastAsia="宋体" w:cs="宋体"/>
                <w:color w:val="auto"/>
              </w:rPr>
              <w:t>）标记“▲”号</w:t>
            </w:r>
            <w:r>
              <w:rPr>
                <w:rFonts w:hint="eastAsia" w:ascii="宋体" w:hAnsi="宋体" w:eastAsia="宋体" w:cs="宋体"/>
                <w:color w:val="auto"/>
                <w:highlight w:val="none"/>
              </w:rPr>
              <w:t>为重点评分项</w:t>
            </w:r>
            <w:r>
              <w:rPr>
                <w:rFonts w:hint="eastAsia" w:ascii="宋体" w:hAnsi="宋体" w:eastAsia="宋体" w:cs="宋体"/>
                <w:color w:val="auto"/>
                <w:highlight w:val="none"/>
              </w:rPr>
              <w:t>（共</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项）</w:t>
            </w:r>
            <w:r>
              <w:rPr>
                <w:rFonts w:hint="eastAsia" w:ascii="宋体" w:hAnsi="宋体" w:eastAsia="宋体" w:cs="宋体"/>
                <w:color w:val="auto"/>
                <w:highlight w:val="none"/>
              </w:rPr>
              <w:t>，每负偏离一项扣3分；扣完</w:t>
            </w:r>
            <w:r>
              <w:rPr>
                <w:rFonts w:hint="eastAsia" w:ascii="宋体" w:hAnsi="宋体" w:eastAsia="宋体" w:cs="宋体"/>
                <w:color w:val="auto"/>
              </w:rPr>
              <w:t>为止，正偏离不加分。</w:t>
            </w:r>
          </w:p>
        </w:tc>
      </w:tr>
      <w:tr w14:paraId="22187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98" w:type="dxa"/>
            <w:vAlign w:val="top"/>
          </w:tcPr>
          <w:p w14:paraId="58F7AC5D">
            <w:pPr>
              <w:pStyle w:val="5"/>
              <w:jc w:val="left"/>
              <w:rPr>
                <w:rFonts w:hint="eastAsia" w:ascii="宋体" w:hAnsi="宋体" w:eastAsia="宋体" w:cs="宋体"/>
                <w:color w:val="auto"/>
                <w:highlight w:val="none"/>
              </w:rPr>
            </w:pPr>
            <w:r>
              <w:rPr>
                <w:rFonts w:hint="eastAsia" w:ascii="宋体" w:hAnsi="宋体" w:eastAsia="宋体" w:cs="宋体"/>
                <w:color w:val="auto"/>
                <w:highlight w:val="none"/>
              </w:rPr>
              <w:t>2.普通参数响应情况</w:t>
            </w:r>
          </w:p>
        </w:tc>
        <w:tc>
          <w:tcPr>
            <w:tcW w:w="805" w:type="dxa"/>
            <w:vAlign w:val="top"/>
          </w:tcPr>
          <w:p w14:paraId="6D561D17">
            <w:pPr>
              <w:pStyle w:val="5"/>
              <w:jc w:val="right"/>
              <w:rPr>
                <w:rFonts w:hint="default" w:ascii="宋体" w:hAnsi="宋体" w:eastAsia="宋体" w:cs="宋体"/>
                <w:color w:val="auto"/>
                <w:highlight w:val="none"/>
                <w:lang w:val="en-US"/>
              </w:rPr>
            </w:pPr>
            <w:r>
              <w:rPr>
                <w:rFonts w:hint="eastAsia" w:ascii="宋体" w:hAnsi="宋体" w:eastAsia="宋体" w:cs="宋体"/>
                <w:color w:val="auto"/>
                <w:highlight w:val="none"/>
                <w:lang w:val="en-US" w:eastAsia="zh-CN"/>
              </w:rPr>
              <w:t>42</w:t>
            </w:r>
          </w:p>
        </w:tc>
        <w:tc>
          <w:tcPr>
            <w:tcW w:w="859" w:type="dxa"/>
            <w:vAlign w:val="top"/>
          </w:tcPr>
          <w:p w14:paraId="689C6187">
            <w:pPr>
              <w:pStyle w:val="5"/>
              <w:jc w:val="left"/>
              <w:rPr>
                <w:rFonts w:hint="eastAsia" w:ascii="宋体" w:hAnsi="宋体" w:eastAsia="宋体" w:cs="宋体"/>
                <w:color w:val="auto"/>
                <w:highlight w:val="none"/>
              </w:rPr>
            </w:pPr>
            <w:r>
              <w:rPr>
                <w:rFonts w:hint="eastAsia" w:ascii="宋体" w:hAnsi="宋体" w:eastAsia="宋体" w:cs="宋体"/>
                <w:color w:val="auto"/>
                <w:highlight w:val="none"/>
              </w:rPr>
              <w:t>是</w:t>
            </w:r>
          </w:p>
        </w:tc>
        <w:tc>
          <w:tcPr>
            <w:tcW w:w="6183" w:type="dxa"/>
            <w:vAlign w:val="top"/>
          </w:tcPr>
          <w:p w14:paraId="2D7A8CD3">
            <w:pPr>
              <w:pStyle w:val="5"/>
              <w:jc w:val="left"/>
              <w:rPr>
                <w:rFonts w:hint="eastAsia" w:ascii="宋体" w:hAnsi="宋体" w:eastAsia="宋体" w:cs="宋体"/>
                <w:color w:val="auto"/>
                <w:highlight w:val="none"/>
              </w:rPr>
            </w:pPr>
            <w:r>
              <w:rPr>
                <w:rFonts w:hint="eastAsia" w:ascii="宋体" w:hAnsi="宋体" w:eastAsia="宋体" w:cs="宋体"/>
                <w:color w:val="auto"/>
                <w:highlight w:val="none"/>
              </w:rPr>
              <w:t>根据各投标人对招标文件第五章技术和服务要求的各项技术要求的逐项应答情况并结合相关佐证材料由评委进行评议并评分，全部满足招标文件要求的得</w:t>
            </w:r>
            <w:r>
              <w:rPr>
                <w:rFonts w:hint="eastAsia" w:ascii="宋体" w:hAnsi="宋体" w:eastAsia="宋体" w:cs="宋体"/>
                <w:color w:val="auto"/>
                <w:highlight w:val="none"/>
                <w:lang w:val="en-US" w:eastAsia="zh-CN"/>
              </w:rPr>
              <w:t>42</w:t>
            </w:r>
            <w:r>
              <w:rPr>
                <w:rFonts w:hint="eastAsia" w:ascii="宋体" w:hAnsi="宋体" w:eastAsia="宋体" w:cs="宋体"/>
                <w:color w:val="auto"/>
                <w:highlight w:val="none"/>
              </w:rPr>
              <w:t>分，（评分</w:t>
            </w:r>
            <w:r>
              <w:rPr>
                <w:rFonts w:hint="eastAsia" w:ascii="宋体" w:hAnsi="宋体" w:eastAsia="宋体" w:cs="宋体"/>
                <w:color w:val="auto"/>
                <w:highlight w:val="none"/>
                <w:lang w:val="en-US" w:eastAsia="zh-CN"/>
              </w:rPr>
              <w:t>项</w:t>
            </w:r>
            <w:r>
              <w:rPr>
                <w:rFonts w:hint="eastAsia" w:ascii="宋体" w:hAnsi="宋体" w:eastAsia="宋体" w:cs="宋体"/>
                <w:color w:val="auto"/>
                <w:highlight w:val="none"/>
              </w:rPr>
              <w:t>1）、（评分</w:t>
            </w:r>
            <w:r>
              <w:rPr>
                <w:rFonts w:hint="eastAsia" w:ascii="宋体" w:hAnsi="宋体" w:eastAsia="宋体" w:cs="宋体"/>
                <w:color w:val="auto"/>
                <w:highlight w:val="none"/>
                <w:lang w:val="en-US" w:eastAsia="zh-CN"/>
              </w:rPr>
              <w:t>项</w:t>
            </w:r>
            <w:r>
              <w:rPr>
                <w:rFonts w:hint="eastAsia" w:ascii="宋体" w:hAnsi="宋体" w:eastAsia="宋体" w:cs="宋体"/>
                <w:color w:val="auto"/>
                <w:highlight w:val="none"/>
              </w:rPr>
              <w:t>2）、（评分</w:t>
            </w:r>
            <w:r>
              <w:rPr>
                <w:rFonts w:hint="eastAsia" w:ascii="宋体" w:hAnsi="宋体" w:eastAsia="宋体" w:cs="宋体"/>
                <w:color w:val="auto"/>
                <w:highlight w:val="none"/>
                <w:lang w:val="en-US" w:eastAsia="zh-CN"/>
              </w:rPr>
              <w:t>项</w:t>
            </w:r>
            <w:r>
              <w:rPr>
                <w:rFonts w:hint="eastAsia" w:ascii="宋体" w:hAnsi="宋体" w:eastAsia="宋体" w:cs="宋体"/>
                <w:color w:val="auto"/>
                <w:highlight w:val="none"/>
              </w:rPr>
              <w:t>3）……为一项</w:t>
            </w:r>
            <w:r>
              <w:rPr>
                <w:rFonts w:hint="eastAsia" w:ascii="宋体" w:hAnsi="宋体" w:eastAsia="宋体" w:cs="宋体"/>
                <w:color w:val="auto"/>
                <w:highlight w:val="none"/>
              </w:rPr>
              <w:t>（共</w:t>
            </w:r>
            <w:r>
              <w:rPr>
                <w:rFonts w:hint="eastAsia" w:ascii="宋体" w:hAnsi="宋体" w:eastAsia="宋体" w:cs="宋体"/>
                <w:color w:val="auto"/>
                <w:highlight w:val="none"/>
                <w:lang w:val="en-US" w:eastAsia="zh-CN"/>
              </w:rPr>
              <w:t>32</w:t>
            </w:r>
            <w:r>
              <w:rPr>
                <w:rFonts w:hint="eastAsia" w:ascii="宋体" w:hAnsi="宋体" w:eastAsia="宋体" w:cs="宋体"/>
                <w:color w:val="auto"/>
                <w:highlight w:val="none"/>
              </w:rPr>
              <w:t>项）的，每负偏离一项扣</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分，</w:t>
            </w:r>
            <w:r>
              <w:rPr>
                <w:rFonts w:hint="eastAsia" w:ascii="宋体" w:hAnsi="宋体" w:eastAsia="宋体" w:cs="宋体"/>
                <w:color w:val="auto"/>
                <w:highlight w:val="none"/>
              </w:rPr>
              <w:t>扣完为止，正偏离不加分。</w:t>
            </w:r>
          </w:p>
        </w:tc>
      </w:tr>
    </w:tbl>
    <w:p w14:paraId="5BFDA07C">
      <w:pPr>
        <w:pStyle w:val="5"/>
        <w:jc w:val="left"/>
        <w:rPr>
          <w:rFonts w:hint="eastAsia" w:ascii="宋体" w:hAnsi="宋体" w:eastAsia="宋体" w:cs="宋体"/>
          <w:color w:val="auto"/>
        </w:rPr>
      </w:pPr>
    </w:p>
    <w:p w14:paraId="248E0498">
      <w:pPr>
        <w:pStyle w:val="5"/>
        <w:jc w:val="left"/>
        <w:rPr>
          <w:rFonts w:hint="eastAsia" w:ascii="宋体" w:hAnsi="宋体" w:eastAsia="宋体" w:cs="宋体"/>
          <w:color w:val="auto"/>
          <w:highlight w:val="yellow"/>
        </w:rPr>
      </w:pPr>
      <w:r>
        <w:rPr>
          <w:rFonts w:hint="eastAsia" w:ascii="宋体" w:hAnsi="宋体" w:eastAsia="宋体" w:cs="宋体"/>
          <w:color w:val="auto"/>
        </w:rPr>
        <w:t>商务部分评分PB 满分为</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分</w:t>
      </w:r>
    </w:p>
    <w:tbl>
      <w:tblPr>
        <w:tblStyle w:val="3"/>
        <w:tblW w:w="9729" w:type="dxa"/>
        <w:tblInd w:w="-522"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34"/>
        <w:gridCol w:w="695"/>
        <w:gridCol w:w="891"/>
        <w:gridCol w:w="6609"/>
      </w:tblGrid>
      <w:tr w14:paraId="7DA17B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4" w:type="dxa"/>
          </w:tcPr>
          <w:p w14:paraId="45B09671">
            <w:pPr>
              <w:pStyle w:val="5"/>
              <w:jc w:val="left"/>
              <w:rPr>
                <w:rFonts w:hint="eastAsia" w:ascii="宋体" w:hAnsi="宋体" w:eastAsia="宋体" w:cs="宋体"/>
                <w:color w:val="auto"/>
              </w:rPr>
            </w:pPr>
            <w:r>
              <w:rPr>
                <w:rFonts w:hint="eastAsia" w:ascii="宋体" w:hAnsi="宋体" w:eastAsia="宋体" w:cs="宋体"/>
                <w:color w:val="auto"/>
              </w:rPr>
              <w:t>项目</w:t>
            </w:r>
          </w:p>
        </w:tc>
        <w:tc>
          <w:tcPr>
            <w:tcW w:w="695" w:type="dxa"/>
          </w:tcPr>
          <w:p w14:paraId="4F7B14F0">
            <w:pPr>
              <w:pStyle w:val="5"/>
              <w:jc w:val="left"/>
              <w:rPr>
                <w:rFonts w:hint="eastAsia" w:ascii="宋体" w:hAnsi="宋体" w:eastAsia="宋体" w:cs="宋体"/>
                <w:color w:val="auto"/>
              </w:rPr>
            </w:pPr>
            <w:r>
              <w:rPr>
                <w:rFonts w:hint="eastAsia" w:ascii="宋体" w:hAnsi="宋体" w:eastAsia="宋体" w:cs="宋体"/>
                <w:color w:val="auto"/>
              </w:rPr>
              <w:t>分值</w:t>
            </w:r>
          </w:p>
        </w:tc>
        <w:tc>
          <w:tcPr>
            <w:tcW w:w="891" w:type="dxa"/>
          </w:tcPr>
          <w:p w14:paraId="5B22EF68">
            <w:pPr>
              <w:pStyle w:val="5"/>
              <w:jc w:val="left"/>
              <w:rPr>
                <w:rFonts w:hint="eastAsia" w:ascii="宋体" w:hAnsi="宋体" w:eastAsia="宋体" w:cs="宋体"/>
                <w:color w:val="auto"/>
              </w:rPr>
            </w:pPr>
            <w:r>
              <w:rPr>
                <w:rFonts w:hint="eastAsia" w:ascii="宋体" w:hAnsi="宋体" w:eastAsia="宋体" w:cs="宋体"/>
                <w:color w:val="auto"/>
              </w:rPr>
              <w:t>是否客观项</w:t>
            </w:r>
          </w:p>
        </w:tc>
        <w:tc>
          <w:tcPr>
            <w:tcW w:w="6609" w:type="dxa"/>
          </w:tcPr>
          <w:p w14:paraId="41250098">
            <w:pPr>
              <w:pStyle w:val="5"/>
              <w:jc w:val="left"/>
              <w:rPr>
                <w:rFonts w:hint="eastAsia" w:ascii="宋体" w:hAnsi="宋体" w:eastAsia="宋体" w:cs="宋体"/>
                <w:color w:val="auto"/>
              </w:rPr>
            </w:pPr>
            <w:r>
              <w:rPr>
                <w:rFonts w:hint="eastAsia" w:ascii="宋体" w:hAnsi="宋体" w:eastAsia="宋体" w:cs="宋体"/>
                <w:color w:val="auto"/>
              </w:rPr>
              <w:t>描述</w:t>
            </w:r>
          </w:p>
        </w:tc>
      </w:tr>
      <w:tr w14:paraId="794788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4" w:type="dxa"/>
          </w:tcPr>
          <w:p w14:paraId="750BF470">
            <w:pPr>
              <w:pStyle w:val="5"/>
              <w:jc w:val="left"/>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eastAsia="宋体" w:cs="宋体"/>
                <w:color w:val="auto"/>
              </w:rPr>
              <w:t>.承诺</w:t>
            </w:r>
          </w:p>
        </w:tc>
        <w:tc>
          <w:tcPr>
            <w:tcW w:w="695" w:type="dxa"/>
          </w:tcPr>
          <w:p w14:paraId="590AD5D1">
            <w:pPr>
              <w:pStyle w:val="5"/>
              <w:jc w:val="center"/>
              <w:rPr>
                <w:rFonts w:hint="eastAsia" w:ascii="宋体" w:hAnsi="宋体" w:eastAsia="宋体" w:cs="宋体"/>
                <w:color w:val="auto"/>
              </w:rPr>
            </w:pPr>
            <w:r>
              <w:rPr>
                <w:rFonts w:hint="eastAsia" w:ascii="宋体" w:hAnsi="宋体" w:eastAsia="宋体" w:cs="宋体"/>
                <w:color w:val="auto"/>
                <w:lang w:val="en-US" w:eastAsia="zh-CN"/>
              </w:rPr>
              <w:t>3</w:t>
            </w:r>
          </w:p>
        </w:tc>
        <w:tc>
          <w:tcPr>
            <w:tcW w:w="891" w:type="dxa"/>
          </w:tcPr>
          <w:p w14:paraId="4164DE76">
            <w:pPr>
              <w:pStyle w:val="5"/>
              <w:jc w:val="left"/>
              <w:rPr>
                <w:rFonts w:hint="eastAsia" w:ascii="宋体" w:hAnsi="宋体" w:eastAsia="宋体" w:cs="宋体"/>
                <w:color w:val="auto"/>
              </w:rPr>
            </w:pPr>
            <w:r>
              <w:rPr>
                <w:rFonts w:hint="eastAsia" w:ascii="宋体" w:hAnsi="宋体" w:eastAsia="宋体" w:cs="宋体"/>
                <w:color w:val="auto"/>
              </w:rPr>
              <w:t>是</w:t>
            </w:r>
          </w:p>
        </w:tc>
        <w:tc>
          <w:tcPr>
            <w:tcW w:w="6609" w:type="dxa"/>
          </w:tcPr>
          <w:p w14:paraId="091FE6BD">
            <w:pPr>
              <w:pStyle w:val="5"/>
              <w:jc w:val="left"/>
              <w:rPr>
                <w:rFonts w:hint="eastAsia" w:ascii="宋体" w:hAnsi="宋体" w:eastAsia="宋体" w:cs="宋体"/>
                <w:color w:val="auto"/>
              </w:rPr>
            </w:pPr>
            <w:r>
              <w:rPr>
                <w:rFonts w:hint="eastAsia" w:ascii="宋体" w:hAnsi="宋体" w:eastAsia="宋体" w:cs="宋体"/>
                <w:color w:val="auto"/>
              </w:rPr>
              <w:t>根据供应商所承诺的免费保修期在满足竞争性磋商文件要求的基础上，每增加1年的得1</w:t>
            </w:r>
            <w:r>
              <w:rPr>
                <w:rFonts w:hint="eastAsia" w:ascii="宋体" w:hAnsi="宋体" w:eastAsia="宋体" w:cs="宋体"/>
                <w:color w:val="auto"/>
                <w:lang w:val="en-US" w:eastAsia="zh-CN"/>
              </w:rPr>
              <w:t>.5</w:t>
            </w:r>
            <w:r>
              <w:rPr>
                <w:rFonts w:hint="eastAsia" w:ascii="宋体" w:hAnsi="宋体" w:eastAsia="宋体" w:cs="宋体"/>
                <w:color w:val="auto"/>
              </w:rPr>
              <w:t>分，满分</w:t>
            </w:r>
            <w:r>
              <w:rPr>
                <w:rFonts w:hint="eastAsia" w:ascii="宋体" w:hAnsi="宋体" w:eastAsia="宋体" w:cs="宋体"/>
                <w:color w:val="auto"/>
                <w:lang w:val="en-US" w:eastAsia="zh-CN"/>
              </w:rPr>
              <w:t>3</w:t>
            </w:r>
            <w:r>
              <w:rPr>
                <w:rFonts w:hint="eastAsia" w:ascii="宋体" w:hAnsi="宋体" w:eastAsia="宋体" w:cs="宋体"/>
                <w:color w:val="auto"/>
              </w:rPr>
              <w:t>分。</w:t>
            </w:r>
          </w:p>
        </w:tc>
      </w:tr>
      <w:tr w14:paraId="462F53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4" w:type="dxa"/>
            <w:shd w:val="clear" w:color="auto" w:fill="auto"/>
            <w:vAlign w:val="center"/>
          </w:tcPr>
          <w:p w14:paraId="675C219A">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2、产品质量保障方案</w:t>
            </w:r>
          </w:p>
        </w:tc>
        <w:tc>
          <w:tcPr>
            <w:tcW w:w="695" w:type="dxa"/>
            <w:shd w:val="clear" w:color="auto" w:fill="auto"/>
            <w:vAlign w:val="center"/>
          </w:tcPr>
          <w:p w14:paraId="752B7463">
            <w:pPr>
              <w:pStyle w:val="5"/>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w:t>
            </w:r>
          </w:p>
        </w:tc>
        <w:tc>
          <w:tcPr>
            <w:tcW w:w="891" w:type="dxa"/>
            <w:shd w:val="clear" w:color="auto" w:fill="auto"/>
            <w:vAlign w:val="center"/>
          </w:tcPr>
          <w:p w14:paraId="453E18B4">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否</w:t>
            </w:r>
          </w:p>
        </w:tc>
        <w:tc>
          <w:tcPr>
            <w:tcW w:w="6609" w:type="dxa"/>
            <w:shd w:val="clear" w:color="auto" w:fill="auto"/>
            <w:vAlign w:val="top"/>
          </w:tcPr>
          <w:p w14:paraId="47AEC231">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根据各各供应商针对本项目制定的所投产品质量保障方案（包含但不限于：①货物质量保证、②货物检验标准、③货物来源渠道），由磋商小组进行评分：方案包含的要点齐全无缺漏项、内容与要点相符、每个要点均有展开详细的阐述、整体思路结构清晰，内容描述合理可行，细节考虑周全且能够适用于本项目的得3分；方案包含的要点齐全、内容与要点相符、每个要点均有展开阐述但不够具体、整体思路结构基本清晰，内容描述基本合理可行，细节考虑较周全且基本能够适用于本项目的得2分；方案包含的要点有缺漏或内容与要点相符但仅有纲要、内容简略，未展开详细阐述，勉强能够适用于本项目的得1分；未提供的或者不满足本项目需求的不得分。</w:t>
            </w:r>
          </w:p>
        </w:tc>
      </w:tr>
      <w:tr w14:paraId="792A9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4" w:type="dxa"/>
            <w:shd w:val="clear" w:color="auto" w:fill="auto"/>
            <w:vAlign w:val="center"/>
          </w:tcPr>
          <w:p w14:paraId="5E0155A1">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3、售后服务方案</w:t>
            </w:r>
          </w:p>
        </w:tc>
        <w:tc>
          <w:tcPr>
            <w:tcW w:w="695" w:type="dxa"/>
            <w:shd w:val="clear" w:color="auto" w:fill="auto"/>
            <w:vAlign w:val="center"/>
          </w:tcPr>
          <w:p w14:paraId="5F5FCCA6">
            <w:pPr>
              <w:pStyle w:val="5"/>
              <w:ind w:firstLine="200" w:firstLineChars="100"/>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2</w:t>
            </w:r>
          </w:p>
        </w:tc>
        <w:tc>
          <w:tcPr>
            <w:tcW w:w="891" w:type="dxa"/>
            <w:shd w:val="clear" w:color="auto" w:fill="auto"/>
            <w:vAlign w:val="center"/>
          </w:tcPr>
          <w:p w14:paraId="08790D06">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否</w:t>
            </w:r>
          </w:p>
        </w:tc>
        <w:tc>
          <w:tcPr>
            <w:tcW w:w="6609" w:type="dxa"/>
            <w:shd w:val="clear" w:color="auto" w:fill="auto"/>
            <w:vAlign w:val="top"/>
          </w:tcPr>
          <w:p w14:paraId="501BDD4C">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根据</w:t>
            </w:r>
            <w:r>
              <w:rPr>
                <w:rFonts w:hint="eastAsia" w:ascii="宋体" w:hAnsi="宋体" w:eastAsia="宋体" w:cs="宋体"/>
                <w:color w:val="auto"/>
              </w:rPr>
              <w:t>供应商</w:t>
            </w:r>
            <w:r>
              <w:rPr>
                <w:rFonts w:hint="eastAsia" w:ascii="宋体" w:hAnsi="宋体" w:eastAsia="宋体" w:cs="宋体"/>
                <w:color w:val="auto"/>
                <w:lang w:val="en-US" w:eastAsia="zh-CN"/>
              </w:rPr>
              <w:t>人针对本项目制定的售后服务方案（包含但不限于：①售后服务机制、②专业人员配备情况、③现有维修服务能力），由磋商小组进行评分：方案包含的要点齐全无缺漏项、内容与要点相符、每个要点均有展开详细的阐述、整体思路结构清晰，内容描述合理可行，细节考虑周全且能够适用于本项目的得2分；方案包含的要点齐全、内容与要点相符、每个要点均有展开阐述但不够具体、整体思路结构基本清晰，内容描述基本合理可行，细节考虑较周全且基本能够适用于本项目的得1.5分；方案包含的要点有缺漏或内容与要点相符但仅有纲要、内容简略，未展开详细阐述，勉强能够适用于本项目的得1分；未提供的或者不满足本项目需求的不得分。</w:t>
            </w:r>
          </w:p>
        </w:tc>
      </w:tr>
      <w:tr w14:paraId="1CAAB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4" w:type="dxa"/>
            <w:shd w:val="clear" w:color="auto" w:fill="auto"/>
            <w:vAlign w:val="center"/>
          </w:tcPr>
          <w:p w14:paraId="017589C1">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4、培训方案</w:t>
            </w:r>
          </w:p>
        </w:tc>
        <w:tc>
          <w:tcPr>
            <w:tcW w:w="695" w:type="dxa"/>
            <w:shd w:val="clear" w:color="auto" w:fill="auto"/>
            <w:vAlign w:val="center"/>
          </w:tcPr>
          <w:p w14:paraId="37423F3E">
            <w:pPr>
              <w:pStyle w:val="5"/>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w:t>
            </w:r>
          </w:p>
        </w:tc>
        <w:tc>
          <w:tcPr>
            <w:tcW w:w="891" w:type="dxa"/>
            <w:shd w:val="clear" w:color="auto" w:fill="auto"/>
            <w:vAlign w:val="center"/>
          </w:tcPr>
          <w:p w14:paraId="051F4DF5">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否</w:t>
            </w:r>
          </w:p>
        </w:tc>
        <w:tc>
          <w:tcPr>
            <w:tcW w:w="6609" w:type="dxa"/>
            <w:shd w:val="clear" w:color="auto" w:fill="auto"/>
            <w:vAlign w:val="top"/>
          </w:tcPr>
          <w:p w14:paraId="541DC624">
            <w:pPr>
              <w:pStyle w:val="5"/>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根据各</w:t>
            </w:r>
            <w:r>
              <w:rPr>
                <w:rFonts w:hint="eastAsia" w:ascii="宋体" w:hAnsi="宋体" w:eastAsia="宋体" w:cs="宋体"/>
                <w:color w:val="auto"/>
              </w:rPr>
              <w:t>供应商</w:t>
            </w:r>
            <w:r>
              <w:rPr>
                <w:rFonts w:hint="eastAsia" w:ascii="宋体" w:hAnsi="宋体" w:eastAsia="宋体" w:cs="宋体"/>
                <w:color w:val="auto"/>
                <w:lang w:val="en-US" w:eastAsia="zh-CN"/>
              </w:rPr>
              <w:t>针对本项目制定的培训方案（包含但不限于：①设备使用、②设备保养、③设备故障排查处理），由磋商小组进行评分：方案包含的要点齐全无缺漏项、内容与要点相符、每个要点均有展开详细的阐述、整体思路结构清晰，内容描述合理可行，细节考虑周全且能够适用于本项目的得2分；方案包含的要点齐全、内容与要点相符、每个要点均有展开阐述但不够具体、整体思路结构基本清晰，内容描述基本合理可行，细节考虑较周全且基本能够适用于本项目的得1.5分；方案包含的要点有缺漏或内容与要点相符但仅有纲要、内容简略，未展开详细阐述，勉强能够适用于本项目的得1分；未提供的或者不满足本项目需求的不得分。</w:t>
            </w:r>
          </w:p>
        </w:tc>
      </w:tr>
    </w:tbl>
    <w:p w14:paraId="0681E6A8">
      <w:pPr>
        <w:pStyle w:val="5"/>
        <w:spacing w:line="360" w:lineRule="auto"/>
        <w:jc w:val="left"/>
        <w:outlineLvl w:val="2"/>
        <w:rPr>
          <w:rFonts w:hint="eastAsia" w:ascii="宋体" w:hAnsi="宋体" w:eastAsia="宋体" w:cs="宋体"/>
          <w:b/>
          <w:color w:val="auto"/>
          <w:sz w:val="24"/>
          <w:szCs w:val="24"/>
        </w:rPr>
      </w:pPr>
    </w:p>
    <w:p w14:paraId="19D30D8E">
      <w:pPr>
        <w:rPr>
          <w:rFonts w:hint="eastAsia" w:ascii="宋体" w:hAnsi="宋体" w:eastAsia="宋体" w:cs="宋体"/>
          <w:color w:val="auto"/>
        </w:rPr>
      </w:pPr>
    </w:p>
    <w:p w14:paraId="2D0CAD0E">
      <w:pPr>
        <w:rPr>
          <w:rFonts w:hint="eastAsia" w:ascii="宋体" w:hAnsi="宋体" w:eastAsia="宋体" w:cs="宋体"/>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6C1D8D"/>
    <w:rsid w:val="02A933C2"/>
    <w:rsid w:val="068C39DB"/>
    <w:rsid w:val="100C72E7"/>
    <w:rsid w:val="42B5148D"/>
    <w:rsid w:val="4CE41BFE"/>
    <w:rsid w:val="4EBC4363"/>
    <w:rsid w:val="521758C8"/>
    <w:rsid w:val="59AD42E7"/>
    <w:rsid w:val="6A4F55F8"/>
    <w:rsid w:val="7B80652E"/>
    <w:rsid w:val="7BA6723C"/>
    <w:rsid w:val="7C773FBF"/>
    <w:rsid w:val="7F6C1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4201</Words>
  <Characters>4632</Characters>
  <Lines>0</Lines>
  <Paragraphs>0</Paragraphs>
  <TotalTime>2</TotalTime>
  <ScaleCrop>false</ScaleCrop>
  <LinksUpToDate>false</LinksUpToDate>
  <CharactersWithSpaces>4700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2026-08-14T07:13:00Z</dcterms:created>
  <dc:creator>jingzikanziji</dc:creator>
  <cp:lastModifiedBy>svfly</cp:lastModifiedBy>
  <dcterms:modified xsi:type="dcterms:W3CDTF">2026-09-09T02:24:15Z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3EE9AF9FCE034E30B95FCBC1FF5435D7_13</vt:lpwstr>
  </property>
  <property fmtid="{D5CDD505-2E9C-101B-9397-08002B2CF9AE}" pid="4" name="KSOTemplateDocerSaveRecord">
    <vt:lpwstr>eyJoZGlkIjoiZjE3YmNjODliZGMzMmZiZGJmZmRhMTg1ZTk1OGU5ZDEiLCJ1c2VySWQiOiIzNDc4MjE1In0=</vt:lpwstr>
  </property>
</Properties>
</file>