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3FC0F">
      <w:pPr>
        <w:pStyle w:val="5"/>
        <w:widowControl/>
        <w:spacing w:line="480" w:lineRule="auto"/>
        <w:jc w:val="center"/>
        <w:rPr>
          <w:rFonts w:hint="eastAsia" w:ascii="方正小标宋简体" w:hAnsi="方正小标宋简体" w:eastAsia="方正小标宋简体" w:cs="方正小标宋简体"/>
          <w:b w:val="0"/>
          <w:bCs w:val="0"/>
          <w:color w:val="auto"/>
          <w:sz w:val="36"/>
          <w:szCs w:val="36"/>
          <w:highlight w:val="none"/>
        </w:rPr>
      </w:pPr>
      <w:r>
        <w:rPr>
          <w:rFonts w:hint="eastAsia" w:ascii="方正小标宋简体" w:hAnsi="方正小标宋简体" w:eastAsia="方正小标宋简体" w:cs="方正小标宋简体"/>
          <w:b w:val="0"/>
          <w:bCs w:val="0"/>
          <w:color w:val="auto"/>
          <w:sz w:val="36"/>
          <w:szCs w:val="36"/>
          <w:highlight w:val="none"/>
          <w:lang w:val="en-US" w:eastAsia="zh-CN"/>
        </w:rPr>
        <w:t>需求内容-部分医技检验检查项目外送服务</w:t>
      </w:r>
    </w:p>
    <w:p w14:paraId="1E9E5117">
      <w:pPr>
        <w:pStyle w:val="5"/>
        <w:keepNext w:val="0"/>
        <w:keepLines w:val="0"/>
        <w:pageBreakBefore w:val="0"/>
        <w:widowControl/>
        <w:kinsoku/>
        <w:wordWrap/>
        <w:overflowPunct/>
        <w:topLinePunct w:val="0"/>
        <w:autoSpaceDE/>
        <w:autoSpaceDN/>
        <w:bidi w:val="0"/>
        <w:adjustRightInd/>
        <w:snapToGrid/>
        <w:spacing w:line="480" w:lineRule="exact"/>
        <w:ind w:right="0" w:rightChars="0"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一、项目概况</w:t>
      </w:r>
    </w:p>
    <w:p w14:paraId="7EF487E5">
      <w:pPr>
        <w:pStyle w:val="5"/>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院为口腔专科医院，现有湖里区蔡塘院区（设有口腔颌面外科病区）、思明区斗西院区、集美院区三个院区。近三年平均年出院患者约476人，年均门诊量60万人次。为满足临床诊疗需求，受限于医院现有条件，需将部分医学影像检查、检验项目、院感监测及紧急备血等项目委托给具备相应资质，位置为医院蔡塘院区方圆10公里距离的三级医院。</w:t>
      </w:r>
    </w:p>
    <w:p w14:paraId="6A565D6C">
      <w:pPr>
        <w:pStyle w:val="5"/>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kern w:val="2"/>
          <w:sz w:val="28"/>
          <w:szCs w:val="28"/>
          <w:lang w:val="en-US" w:eastAsia="zh-CN" w:bidi="ar-SA"/>
        </w:rPr>
        <w:t>二、</w:t>
      </w:r>
      <w:r>
        <w:rPr>
          <w:rFonts w:hint="eastAsia" w:ascii="黑体" w:hAnsi="黑体" w:eastAsia="黑体" w:cs="黑体"/>
          <w:b w:val="0"/>
          <w:bCs/>
          <w:color w:val="auto"/>
          <w:sz w:val="28"/>
          <w:szCs w:val="28"/>
          <w:highlight w:val="none"/>
        </w:rPr>
        <w:t>采购内容及需求</w:t>
      </w:r>
    </w:p>
    <w:p w14:paraId="05A0C833">
      <w:pPr>
        <w:pStyle w:val="5"/>
        <w:shd w:val="clear" w:color="auto" w:fill="FFFFFF"/>
        <w:spacing w:before="0" w:beforeAutospacing="0" w:after="0" w:afterAutospacing="0" w:line="560" w:lineRule="exact"/>
        <w:ind w:firstLine="560" w:firstLineChars="200"/>
        <w:rPr>
          <w:rFonts w:hint="eastAsia" w:ascii="仿宋_GB2312" w:hAnsi="仿宋_GB2312" w:eastAsia="仿宋_GB2312" w:cs="仿宋_GB2312"/>
          <w:color w:val="222222"/>
          <w:sz w:val="28"/>
          <w:szCs w:val="28"/>
          <w:shd w:val="clear" w:color="auto" w:fill="FFFFFF"/>
          <w:lang w:bidi="ar"/>
        </w:rPr>
      </w:pPr>
      <w:r>
        <w:rPr>
          <w:rFonts w:hint="eastAsia" w:ascii="仿宋_GB2312" w:hAnsi="仿宋_GB2312" w:eastAsia="仿宋_GB2312" w:cs="仿宋_GB2312"/>
          <w:color w:val="222222"/>
          <w:sz w:val="28"/>
          <w:szCs w:val="28"/>
          <w:shd w:val="clear" w:color="auto" w:fill="FFFFFF"/>
          <w:lang w:bidi="ar"/>
        </w:rPr>
        <w:t>（一）服务清单</w:t>
      </w:r>
    </w:p>
    <w:tbl>
      <w:tblPr>
        <w:tblStyle w:val="6"/>
        <w:tblW w:w="8117" w:type="dxa"/>
        <w:tblInd w:w="0" w:type="dxa"/>
        <w:tblLayout w:type="autofit"/>
        <w:tblCellMar>
          <w:top w:w="15" w:type="dxa"/>
          <w:left w:w="15" w:type="dxa"/>
          <w:bottom w:w="15" w:type="dxa"/>
          <w:right w:w="15" w:type="dxa"/>
        </w:tblCellMar>
      </w:tblPr>
      <w:tblGrid>
        <w:gridCol w:w="533"/>
        <w:gridCol w:w="1068"/>
        <w:gridCol w:w="1453"/>
        <w:gridCol w:w="2678"/>
        <w:gridCol w:w="2385"/>
      </w:tblGrid>
      <w:tr w14:paraId="0E3BB67A">
        <w:tblPrEx>
          <w:tblCellMar>
            <w:top w:w="15" w:type="dxa"/>
            <w:left w:w="15" w:type="dxa"/>
            <w:bottom w:w="15" w:type="dxa"/>
            <w:right w:w="15" w:type="dxa"/>
          </w:tblCellMar>
        </w:tblPrEx>
        <w:trPr>
          <w:trHeight w:val="646"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48EA32">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b/>
                <w:bCs/>
                <w:color w:val="000000"/>
                <w:sz w:val="18"/>
                <w:szCs w:val="18"/>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BC53319">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b/>
                <w:bCs/>
                <w:color w:val="000000"/>
                <w:sz w:val="18"/>
                <w:szCs w:val="18"/>
              </w:rPr>
              <w:t>需求科室</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202294">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b/>
                <w:bCs/>
                <w:color w:val="000000"/>
                <w:sz w:val="18"/>
                <w:szCs w:val="18"/>
              </w:rPr>
              <w:t>类别</w:t>
            </w: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163B673">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b/>
                <w:bCs/>
                <w:color w:val="000000"/>
                <w:sz w:val="18"/>
                <w:szCs w:val="18"/>
              </w:rPr>
              <w:t>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CAC65C9">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b/>
                <w:bCs/>
                <w:color w:val="000000"/>
                <w:sz w:val="18"/>
                <w:szCs w:val="18"/>
              </w:rPr>
              <w:t>清单</w:t>
            </w:r>
          </w:p>
        </w:tc>
      </w:tr>
      <w:tr w14:paraId="6C6C54F6">
        <w:tblPrEx>
          <w:tblCellMar>
            <w:top w:w="15" w:type="dxa"/>
            <w:left w:w="15" w:type="dxa"/>
            <w:bottom w:w="15" w:type="dxa"/>
            <w:right w:w="15" w:type="dxa"/>
          </w:tblCellMar>
        </w:tblPrEx>
        <w:trPr>
          <w:trHeight w:val="432"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D57A14">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1</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545197E">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口腔颌面外科病房</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0590AD9">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医学影像检查</w:t>
            </w: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39C634A">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X线</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AA2F0C2">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以住院患者术前检查项目为主，部分门诊患者所需的检查项目如：颞下颌关节核磁，颌面颈部核磁平扫+增强等</w:t>
            </w:r>
          </w:p>
        </w:tc>
      </w:tr>
      <w:tr w14:paraId="0A26BE1C">
        <w:tblPrEx>
          <w:tblCellMar>
            <w:top w:w="15" w:type="dxa"/>
            <w:left w:w="15" w:type="dxa"/>
            <w:bottom w:w="15" w:type="dxa"/>
            <w:right w:w="15" w:type="dxa"/>
          </w:tblCellMar>
        </w:tblPrEx>
        <w:trPr>
          <w:trHeight w:val="408"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CECAE08">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7D35D5E">
            <w:pPr>
              <w:rPr>
                <w:rFonts w:hint="eastAsia" w:ascii="仿宋_GB2312" w:hAnsi="仿宋_GB2312" w:eastAsia="仿宋_GB2312" w:cs="仿宋_GB2312"/>
                <w:sz w:val="24"/>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1A0FF4">
            <w:pPr>
              <w:rPr>
                <w:rFonts w:hint="eastAsia" w:ascii="仿宋_GB2312" w:hAnsi="仿宋_GB2312" w:eastAsia="仿宋_GB2312" w:cs="仿宋_GB2312"/>
                <w:sz w:val="24"/>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AF28ED5">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CT诊断专业</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D19A264">
            <w:pPr>
              <w:rPr>
                <w:rFonts w:hint="eastAsia" w:ascii="仿宋_GB2312" w:hAnsi="仿宋_GB2312" w:eastAsia="仿宋_GB2312" w:cs="仿宋_GB2312"/>
                <w:sz w:val="24"/>
              </w:rPr>
            </w:pPr>
          </w:p>
        </w:tc>
      </w:tr>
      <w:tr w14:paraId="5E8B08DA">
        <w:tblPrEx>
          <w:tblCellMar>
            <w:top w:w="15" w:type="dxa"/>
            <w:left w:w="15" w:type="dxa"/>
            <w:bottom w:w="15" w:type="dxa"/>
            <w:right w:w="15" w:type="dxa"/>
          </w:tblCellMar>
        </w:tblPrEx>
        <w:trPr>
          <w:trHeight w:val="462"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381FB10">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9D9727">
            <w:pPr>
              <w:rPr>
                <w:rFonts w:hint="eastAsia" w:ascii="仿宋_GB2312" w:hAnsi="仿宋_GB2312" w:eastAsia="仿宋_GB2312" w:cs="仿宋_GB2312"/>
                <w:sz w:val="24"/>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B26B9A8">
            <w:pPr>
              <w:rPr>
                <w:rFonts w:hint="eastAsia" w:ascii="仿宋_GB2312" w:hAnsi="仿宋_GB2312" w:eastAsia="仿宋_GB2312" w:cs="仿宋_GB2312"/>
                <w:sz w:val="24"/>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F04AFF4">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磁共振成像诊断专业</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2B9C418">
            <w:pPr>
              <w:rPr>
                <w:rFonts w:hint="eastAsia" w:ascii="仿宋_GB2312" w:hAnsi="仿宋_GB2312" w:eastAsia="仿宋_GB2312" w:cs="仿宋_GB2312"/>
                <w:sz w:val="24"/>
              </w:rPr>
            </w:pPr>
          </w:p>
        </w:tc>
      </w:tr>
      <w:tr w14:paraId="3EA80DEB">
        <w:tblPrEx>
          <w:tblCellMar>
            <w:top w:w="15" w:type="dxa"/>
            <w:left w:w="15" w:type="dxa"/>
            <w:bottom w:w="15" w:type="dxa"/>
            <w:right w:w="15" w:type="dxa"/>
          </w:tblCellMar>
        </w:tblPrEx>
        <w:trPr>
          <w:trHeight w:val="462"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2EA6DB7">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9128E06">
            <w:pPr>
              <w:rPr>
                <w:rFonts w:hint="eastAsia" w:ascii="仿宋_GB2312" w:hAnsi="仿宋_GB2312" w:eastAsia="仿宋_GB2312" w:cs="仿宋_GB2312"/>
                <w:sz w:val="24"/>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2F61FAA">
            <w:pPr>
              <w:rPr>
                <w:rFonts w:hint="eastAsia" w:ascii="仿宋_GB2312" w:hAnsi="仿宋_GB2312" w:eastAsia="仿宋_GB2312" w:cs="仿宋_GB2312"/>
                <w:sz w:val="24"/>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74121B">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核医学专业</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8E2522F">
            <w:pPr>
              <w:rPr>
                <w:rFonts w:hint="eastAsia" w:ascii="仿宋_GB2312" w:hAnsi="仿宋_GB2312" w:eastAsia="仿宋_GB2312" w:cs="仿宋_GB2312"/>
                <w:sz w:val="24"/>
              </w:rPr>
            </w:pPr>
          </w:p>
        </w:tc>
      </w:tr>
      <w:tr w14:paraId="50DF1832">
        <w:tblPrEx>
          <w:tblCellMar>
            <w:top w:w="15" w:type="dxa"/>
            <w:left w:w="15" w:type="dxa"/>
            <w:bottom w:w="15" w:type="dxa"/>
            <w:right w:w="15" w:type="dxa"/>
          </w:tblCellMar>
        </w:tblPrEx>
        <w:trPr>
          <w:trHeight w:val="472"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17F003">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2D7C2F9">
            <w:pPr>
              <w:rPr>
                <w:rFonts w:hint="eastAsia" w:ascii="仿宋_GB2312" w:hAnsi="仿宋_GB2312" w:eastAsia="仿宋_GB2312" w:cs="仿宋_GB2312"/>
                <w:sz w:val="24"/>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5FAB0D">
            <w:pPr>
              <w:rPr>
                <w:rFonts w:hint="eastAsia" w:ascii="仿宋_GB2312" w:hAnsi="仿宋_GB2312" w:eastAsia="仿宋_GB2312" w:cs="仿宋_GB2312"/>
                <w:sz w:val="24"/>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CBADED">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超声诊断专业</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382F71">
            <w:pPr>
              <w:rPr>
                <w:rFonts w:hint="eastAsia" w:ascii="仿宋_GB2312" w:hAnsi="仿宋_GB2312" w:eastAsia="仿宋_GB2312" w:cs="仿宋_GB2312"/>
                <w:sz w:val="24"/>
              </w:rPr>
            </w:pPr>
          </w:p>
        </w:tc>
      </w:tr>
      <w:tr w14:paraId="0E8487AD">
        <w:tblPrEx>
          <w:tblCellMar>
            <w:top w:w="15" w:type="dxa"/>
            <w:left w:w="15" w:type="dxa"/>
            <w:bottom w:w="15" w:type="dxa"/>
            <w:right w:w="15" w:type="dxa"/>
          </w:tblCellMar>
        </w:tblPrEx>
        <w:trPr>
          <w:trHeight w:val="408"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C144FD">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D115991">
            <w:pPr>
              <w:rPr>
                <w:rFonts w:hint="eastAsia" w:ascii="仿宋_GB2312" w:hAnsi="仿宋_GB2312" w:eastAsia="仿宋_GB2312" w:cs="仿宋_GB2312"/>
                <w:sz w:val="24"/>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BDFCF9D">
            <w:pPr>
              <w:rPr>
                <w:rFonts w:hint="eastAsia" w:ascii="仿宋_GB2312" w:hAnsi="仿宋_GB2312" w:eastAsia="仿宋_GB2312" w:cs="仿宋_GB2312"/>
                <w:sz w:val="24"/>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EC3C81C">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肺功能、心功能、鼻咽镜</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AE116F0">
            <w:pPr>
              <w:rPr>
                <w:rFonts w:hint="eastAsia" w:ascii="仿宋_GB2312" w:hAnsi="仿宋_GB2312" w:eastAsia="仿宋_GB2312" w:cs="仿宋_GB2312"/>
                <w:sz w:val="24"/>
              </w:rPr>
            </w:pPr>
          </w:p>
        </w:tc>
      </w:tr>
      <w:tr w14:paraId="66A8F26C">
        <w:tblPrEx>
          <w:tblCellMar>
            <w:top w:w="15" w:type="dxa"/>
            <w:left w:w="15" w:type="dxa"/>
            <w:bottom w:w="15" w:type="dxa"/>
            <w:right w:w="15" w:type="dxa"/>
          </w:tblCellMar>
        </w:tblPrEx>
        <w:trPr>
          <w:trHeight w:val="492"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0155E31">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9DC355F">
            <w:pPr>
              <w:rPr>
                <w:rFonts w:hint="eastAsia" w:ascii="仿宋_GB2312" w:hAnsi="仿宋_GB2312" w:eastAsia="仿宋_GB2312" w:cs="仿宋_GB2312"/>
                <w:sz w:val="24"/>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1F7A096">
            <w:pPr>
              <w:rPr>
                <w:rFonts w:hint="eastAsia" w:ascii="仿宋_GB2312" w:hAnsi="仿宋_GB2312" w:eastAsia="仿宋_GB2312" w:cs="仿宋_GB2312"/>
                <w:sz w:val="24"/>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D87FAA">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心电诊断专业</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F9EAA8C">
            <w:pPr>
              <w:rPr>
                <w:rFonts w:hint="eastAsia" w:ascii="仿宋_GB2312" w:hAnsi="仿宋_GB2312" w:eastAsia="仿宋_GB2312" w:cs="仿宋_GB2312"/>
                <w:sz w:val="24"/>
              </w:rPr>
            </w:pPr>
          </w:p>
        </w:tc>
      </w:tr>
      <w:tr w14:paraId="30B98F76">
        <w:tblPrEx>
          <w:tblCellMar>
            <w:top w:w="15" w:type="dxa"/>
            <w:left w:w="15" w:type="dxa"/>
            <w:bottom w:w="15" w:type="dxa"/>
            <w:right w:w="15" w:type="dxa"/>
          </w:tblCellMar>
        </w:tblPrEx>
        <w:trPr>
          <w:trHeight w:val="565"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B25EA45">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2</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31098EF">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检验科</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B137C6D">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医学检验检查</w:t>
            </w: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58B1DC2">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sz w:val="16"/>
                <w:szCs w:val="16"/>
              </w:rPr>
              <w:t>临床微生物专业</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D7683E5">
            <w:pPr>
              <w:pStyle w:val="5"/>
              <w:spacing w:before="0" w:beforeAutospacing="0" w:after="0" w:afterAutospacing="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主要是门诊种植术前项目，部分住院项目</w:t>
            </w:r>
          </w:p>
          <w:p w14:paraId="6B32DCDF">
            <w:pPr>
              <w:pStyle w:val="5"/>
              <w:spacing w:before="0" w:beforeAutospacing="0" w:after="0" w:afterAutospacing="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1.HIV抗体测定 </w:t>
            </w:r>
          </w:p>
          <w:p w14:paraId="7023E0EE">
            <w:pPr>
              <w:pStyle w:val="5"/>
              <w:spacing w:before="0" w:beforeAutospacing="0" w:after="0" w:afterAutospacing="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2.一般细菌培养与鉴定 </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3.真菌培养及鉴定</w:t>
            </w:r>
          </w:p>
          <w:p w14:paraId="086F0A33">
            <w:pPr>
              <w:pStyle w:val="5"/>
              <w:spacing w:before="0" w:beforeAutospacing="0" w:after="0" w:afterAutospacing="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4.药敏试验 </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5.同型半胱氨酸测定</w:t>
            </w:r>
          </w:p>
          <w:p w14:paraId="0335039C">
            <w:pPr>
              <w:pStyle w:val="5"/>
              <w:spacing w:before="0" w:beforeAutospacing="0" w:after="0" w:afterAutospacing="0"/>
              <w:rPr>
                <w:rFonts w:hint="eastAsia" w:ascii="仿宋_GB2312" w:hAnsi="仿宋_GB2312" w:eastAsia="仿宋_GB2312" w:cs="仿宋_GB2312"/>
              </w:rPr>
            </w:pPr>
            <w:r>
              <w:rPr>
                <w:rFonts w:hint="eastAsia" w:ascii="仿宋_GB2312" w:hAnsi="仿宋_GB2312" w:eastAsia="仿宋_GB2312" w:cs="仿宋_GB2312"/>
                <w:color w:val="000000"/>
                <w:sz w:val="18"/>
                <w:szCs w:val="18"/>
              </w:rPr>
              <w:t xml:space="preserve"> 6.PCT（降钙素原测定） </w:t>
            </w:r>
          </w:p>
        </w:tc>
      </w:tr>
      <w:tr w14:paraId="0A71D395">
        <w:tblPrEx>
          <w:tblCellMar>
            <w:top w:w="15" w:type="dxa"/>
            <w:left w:w="15" w:type="dxa"/>
            <w:bottom w:w="15" w:type="dxa"/>
            <w:right w:w="15" w:type="dxa"/>
          </w:tblCellMar>
        </w:tblPrEx>
        <w:trPr>
          <w:trHeight w:val="442"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10A24F">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55DC64">
            <w:pPr>
              <w:rPr>
                <w:rFonts w:hint="eastAsia" w:ascii="仿宋_GB2312" w:hAnsi="仿宋_GB2312" w:eastAsia="仿宋_GB2312" w:cs="仿宋_GB2312"/>
                <w:sz w:val="24"/>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77E597B">
            <w:pPr>
              <w:rPr>
                <w:rFonts w:hint="eastAsia" w:ascii="仿宋_GB2312" w:hAnsi="仿宋_GB2312" w:eastAsia="仿宋_GB2312" w:cs="仿宋_GB2312"/>
                <w:sz w:val="24"/>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3D78982">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sz w:val="18"/>
                <w:szCs w:val="18"/>
              </w:rPr>
              <w:t>临床体液、血液专业</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FD5031">
            <w:pPr>
              <w:rPr>
                <w:rFonts w:hint="eastAsia" w:ascii="仿宋_GB2312" w:hAnsi="仿宋_GB2312" w:eastAsia="仿宋_GB2312" w:cs="仿宋_GB2312"/>
                <w:sz w:val="24"/>
              </w:rPr>
            </w:pPr>
          </w:p>
        </w:tc>
      </w:tr>
      <w:tr w14:paraId="752FEBE0">
        <w:tblPrEx>
          <w:tblCellMar>
            <w:top w:w="15" w:type="dxa"/>
            <w:left w:w="15" w:type="dxa"/>
            <w:bottom w:w="15" w:type="dxa"/>
            <w:right w:w="15" w:type="dxa"/>
          </w:tblCellMar>
        </w:tblPrEx>
        <w:trPr>
          <w:trHeight w:val="363"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39FB39A">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D5AE0A6">
            <w:pPr>
              <w:rPr>
                <w:rFonts w:hint="eastAsia" w:ascii="仿宋_GB2312" w:hAnsi="仿宋_GB2312" w:eastAsia="仿宋_GB2312" w:cs="仿宋_GB2312"/>
                <w:sz w:val="24"/>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C925B8D">
            <w:pPr>
              <w:rPr>
                <w:rFonts w:hint="eastAsia" w:ascii="仿宋_GB2312" w:hAnsi="仿宋_GB2312" w:eastAsia="仿宋_GB2312" w:cs="仿宋_GB2312"/>
                <w:sz w:val="24"/>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3AB99DC">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临床化学检验专业</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AF2761B">
            <w:pPr>
              <w:rPr>
                <w:rFonts w:hint="eastAsia" w:ascii="仿宋_GB2312" w:hAnsi="仿宋_GB2312" w:eastAsia="仿宋_GB2312" w:cs="仿宋_GB2312"/>
                <w:sz w:val="24"/>
              </w:rPr>
            </w:pPr>
          </w:p>
        </w:tc>
      </w:tr>
      <w:tr w14:paraId="36FA6DD9">
        <w:tblPrEx>
          <w:tblCellMar>
            <w:top w:w="15" w:type="dxa"/>
            <w:left w:w="15" w:type="dxa"/>
            <w:bottom w:w="15" w:type="dxa"/>
            <w:right w:w="15" w:type="dxa"/>
          </w:tblCellMar>
        </w:tblPrEx>
        <w:trPr>
          <w:trHeight w:val="408"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D74284B">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09C5F8A">
            <w:pPr>
              <w:rPr>
                <w:rFonts w:hint="eastAsia" w:ascii="仿宋_GB2312" w:hAnsi="仿宋_GB2312" w:eastAsia="仿宋_GB2312" w:cs="仿宋_GB2312"/>
                <w:sz w:val="24"/>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D1E1FC8">
            <w:pPr>
              <w:rPr>
                <w:rFonts w:hint="eastAsia" w:ascii="仿宋_GB2312" w:hAnsi="仿宋_GB2312" w:eastAsia="仿宋_GB2312" w:cs="仿宋_GB2312"/>
                <w:sz w:val="24"/>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C12D2F8">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临床免疫、血清专业</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ED37CD1">
            <w:pPr>
              <w:rPr>
                <w:rFonts w:hint="eastAsia" w:ascii="仿宋_GB2312" w:hAnsi="仿宋_GB2312" w:eastAsia="仿宋_GB2312" w:cs="仿宋_GB2312"/>
                <w:sz w:val="24"/>
              </w:rPr>
            </w:pPr>
          </w:p>
        </w:tc>
      </w:tr>
      <w:tr w14:paraId="5C128765">
        <w:tblPrEx>
          <w:tblCellMar>
            <w:top w:w="15" w:type="dxa"/>
            <w:left w:w="15" w:type="dxa"/>
            <w:bottom w:w="15" w:type="dxa"/>
            <w:right w:w="15" w:type="dxa"/>
          </w:tblCellMar>
        </w:tblPrEx>
        <w:trPr>
          <w:trHeight w:val="798"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A88111">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7800DCD">
            <w:pPr>
              <w:rPr>
                <w:rFonts w:hint="eastAsia" w:ascii="仿宋_GB2312" w:hAnsi="仿宋_GB2312" w:eastAsia="仿宋_GB2312" w:cs="仿宋_GB2312"/>
                <w:sz w:val="24"/>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678955D">
            <w:pPr>
              <w:rPr>
                <w:rFonts w:hint="eastAsia" w:ascii="仿宋_GB2312" w:hAnsi="仿宋_GB2312" w:eastAsia="仿宋_GB2312" w:cs="仿宋_GB2312"/>
                <w:sz w:val="24"/>
              </w:rPr>
            </w:pP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076F2D">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临床细胞分子遗传学专业</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B71B0E9">
            <w:pPr>
              <w:rPr>
                <w:rFonts w:hint="eastAsia" w:ascii="仿宋_GB2312" w:hAnsi="仿宋_GB2312" w:eastAsia="仿宋_GB2312" w:cs="仿宋_GB2312"/>
                <w:sz w:val="24"/>
              </w:rPr>
            </w:pPr>
          </w:p>
        </w:tc>
      </w:tr>
      <w:tr w14:paraId="4F6AF3BC">
        <w:tblPrEx>
          <w:tblCellMar>
            <w:top w:w="15" w:type="dxa"/>
            <w:left w:w="15" w:type="dxa"/>
            <w:bottom w:w="15" w:type="dxa"/>
            <w:right w:w="15" w:type="dxa"/>
          </w:tblCellMar>
        </w:tblPrEx>
        <w:trPr>
          <w:trHeight w:val="954"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94E3EA">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0208BF0">
            <w:pPr>
              <w:rPr>
                <w:rFonts w:hint="eastAsia" w:ascii="仿宋_GB2312" w:hAnsi="仿宋_GB2312" w:eastAsia="仿宋_GB2312" w:cs="仿宋_GB2312"/>
                <w:sz w:val="24"/>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B536D72">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临床用血</w:t>
            </w: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0777C3">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紧急备血液</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3838BE9">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18"/>
                <w:szCs w:val="18"/>
              </w:rPr>
              <w:t>近三年共计输血7例，其中自体输血3例，异体输血4例</w:t>
            </w:r>
          </w:p>
        </w:tc>
      </w:tr>
      <w:tr w14:paraId="1AC299EF">
        <w:tblPrEx>
          <w:tblCellMar>
            <w:top w:w="15" w:type="dxa"/>
            <w:left w:w="15" w:type="dxa"/>
            <w:bottom w:w="15" w:type="dxa"/>
            <w:right w:w="15" w:type="dxa"/>
          </w:tblCellMar>
        </w:tblPrEx>
        <w:trPr>
          <w:trHeight w:val="2576" w:hRule="atLeast"/>
        </w:trPr>
        <w:tc>
          <w:tcPr>
            <w:tcW w:w="533" w:type="dxa"/>
            <w:vMerge w:val="restart"/>
            <w:tcBorders>
              <w:top w:val="single" w:color="000000" w:sz="4" w:space="0"/>
              <w:left w:val="single" w:color="000000" w:sz="4" w:space="0"/>
              <w:bottom w:val="nil"/>
              <w:right w:val="single" w:color="000000" w:sz="4" w:space="0"/>
            </w:tcBorders>
            <w:shd w:val="clear" w:color="auto" w:fill="auto"/>
            <w:tcMar>
              <w:top w:w="0" w:type="dxa"/>
              <w:left w:w="108" w:type="dxa"/>
              <w:bottom w:w="0" w:type="dxa"/>
              <w:right w:w="108" w:type="dxa"/>
            </w:tcMar>
            <w:vAlign w:val="center"/>
          </w:tcPr>
          <w:p w14:paraId="297652F0">
            <w:pPr>
              <w:pStyle w:val="5"/>
              <w:spacing w:before="0" w:beforeAutospacing="0" w:after="0" w:afterAutospacing="0"/>
              <w:jc w:val="center"/>
              <w:rPr>
                <w:rFonts w:hint="eastAsia" w:ascii="仿宋_GB2312" w:hAnsi="仿宋_GB2312" w:eastAsia="仿宋_GB2312" w:cs="仿宋_GB2312"/>
              </w:rPr>
            </w:pPr>
            <w:r>
              <w:rPr>
                <w:rFonts w:hint="eastAsia" w:ascii="仿宋_GB2312" w:hAnsi="仿宋_GB2312" w:eastAsia="仿宋_GB2312" w:cs="仿宋_GB2312"/>
                <w:color w:val="000000"/>
                <w:sz w:val="21"/>
                <w:szCs w:val="21"/>
              </w:rPr>
              <w:t>4</w:t>
            </w:r>
          </w:p>
        </w:tc>
        <w:tc>
          <w:tcPr>
            <w:tcW w:w="1068" w:type="dxa"/>
            <w:vMerge w:val="restart"/>
            <w:tcBorders>
              <w:top w:val="single" w:color="000000" w:sz="4" w:space="0"/>
              <w:left w:val="single" w:color="000000" w:sz="4" w:space="0"/>
              <w:bottom w:val="nil"/>
              <w:right w:val="single" w:color="000000" w:sz="4" w:space="0"/>
            </w:tcBorders>
            <w:shd w:val="clear" w:color="auto" w:fill="auto"/>
            <w:tcMar>
              <w:top w:w="0" w:type="dxa"/>
              <w:left w:w="108" w:type="dxa"/>
              <w:bottom w:w="0" w:type="dxa"/>
              <w:right w:w="108" w:type="dxa"/>
            </w:tcMar>
            <w:vAlign w:val="center"/>
          </w:tcPr>
          <w:p w14:paraId="1FDBF78A">
            <w:pPr>
              <w:pStyle w:val="5"/>
              <w:spacing w:before="0" w:beforeAutospacing="0" w:after="0" w:afterAutospacing="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院感科</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9627C1F">
            <w:pPr>
              <w:pStyle w:val="5"/>
              <w:spacing w:before="0" w:beforeAutospacing="0" w:after="0" w:afterAutospacing="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病原微生物监测</w:t>
            </w: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F41E867">
            <w:pPr>
              <w:pStyle w:val="5"/>
              <w:spacing w:before="0" w:beforeAutospacing="0" w:after="0" w:afterAutospacing="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细菌耐药监测报告、多重耐药菌的检出变化和感染趋势报告、细菌耐药趋势和抗菌药物敏感报告分析、细菌耐药预警及定期反馈临床、评估甲方重点部门前五位院感及耐药率、监测报告的解读以及指导如何根据监测报告进行应用的咨询解答</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788562">
            <w:pPr>
              <w:pStyle w:val="5"/>
              <w:spacing w:before="0" w:beforeAutospacing="0" w:after="0" w:afterAutospacing="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每季度1次</w:t>
            </w:r>
          </w:p>
        </w:tc>
      </w:tr>
      <w:tr w14:paraId="1BFC58B6">
        <w:tblPrEx>
          <w:tblCellMar>
            <w:top w:w="15" w:type="dxa"/>
            <w:left w:w="15" w:type="dxa"/>
            <w:bottom w:w="15" w:type="dxa"/>
            <w:right w:w="15" w:type="dxa"/>
          </w:tblCellMar>
        </w:tblPrEx>
        <w:trPr>
          <w:trHeight w:val="1776" w:hRule="atLeast"/>
        </w:trPr>
        <w:tc>
          <w:tcPr>
            <w:tcW w:w="533" w:type="dxa"/>
            <w:vMerge w:val="continue"/>
            <w:tcBorders>
              <w:top w:val="single" w:color="000000" w:sz="4" w:space="0"/>
              <w:left w:val="single" w:color="000000" w:sz="4" w:space="0"/>
              <w:bottom w:val="nil"/>
              <w:right w:val="single" w:color="000000" w:sz="4" w:space="0"/>
            </w:tcBorders>
            <w:shd w:val="clear" w:color="auto" w:fill="auto"/>
            <w:tcMar>
              <w:top w:w="0" w:type="dxa"/>
              <w:left w:w="108" w:type="dxa"/>
              <w:bottom w:w="0" w:type="dxa"/>
              <w:right w:w="108" w:type="dxa"/>
            </w:tcMar>
            <w:vAlign w:val="center"/>
          </w:tcPr>
          <w:p w14:paraId="1516C0AD">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nil"/>
              <w:right w:val="single" w:color="000000" w:sz="4" w:space="0"/>
            </w:tcBorders>
            <w:shd w:val="clear" w:color="auto" w:fill="auto"/>
            <w:tcMar>
              <w:top w:w="0" w:type="dxa"/>
              <w:left w:w="108" w:type="dxa"/>
              <w:bottom w:w="0" w:type="dxa"/>
              <w:right w:w="108" w:type="dxa"/>
            </w:tcMar>
            <w:vAlign w:val="center"/>
          </w:tcPr>
          <w:p w14:paraId="71806830">
            <w:pPr>
              <w:pStyle w:val="5"/>
              <w:jc w:val="center"/>
              <w:rPr>
                <w:rFonts w:hint="eastAsia" w:ascii="仿宋_GB2312" w:hAnsi="仿宋_GB2312" w:eastAsia="仿宋_GB2312" w:cs="仿宋_GB2312"/>
                <w:color w:val="000000"/>
                <w:sz w:val="18"/>
                <w:szCs w:val="18"/>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1CE4205">
            <w:pPr>
              <w:pStyle w:val="5"/>
              <w:spacing w:before="0" w:beforeAutospacing="0" w:after="0" w:afterAutospacing="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检验科、药学部、临床、院感等相关培训；人员培训</w:t>
            </w: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EB5A776">
            <w:pPr>
              <w:pStyle w:val="5"/>
              <w:spacing w:before="0" w:beforeAutospacing="0" w:after="0" w:afterAutospacing="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规范微生物标本采集、运送、保存流程及检测报告解读及其他生物安全培训；</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；临床药物使用培训等；人员短期外派贵单位实验室学习</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ED3C95">
            <w:pPr>
              <w:pStyle w:val="5"/>
              <w:spacing w:before="0" w:beforeAutospacing="0" w:after="0" w:afterAutospacing="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一年2次</w:t>
            </w:r>
          </w:p>
        </w:tc>
      </w:tr>
      <w:tr w14:paraId="0355D9CD">
        <w:tblPrEx>
          <w:tblCellMar>
            <w:top w:w="15" w:type="dxa"/>
            <w:left w:w="15" w:type="dxa"/>
            <w:bottom w:w="15" w:type="dxa"/>
            <w:right w:w="15" w:type="dxa"/>
          </w:tblCellMar>
        </w:tblPrEx>
        <w:trPr>
          <w:trHeight w:val="646" w:hRule="atLeast"/>
        </w:trPr>
        <w:tc>
          <w:tcPr>
            <w:tcW w:w="533" w:type="dxa"/>
            <w:vMerge w:val="continue"/>
            <w:tcBorders>
              <w:top w:val="single" w:color="000000" w:sz="4" w:space="0"/>
              <w:left w:val="single" w:color="000000" w:sz="4" w:space="0"/>
              <w:bottom w:val="nil"/>
              <w:right w:val="single" w:color="000000" w:sz="4" w:space="0"/>
            </w:tcBorders>
            <w:shd w:val="clear" w:color="auto" w:fill="auto"/>
            <w:tcMar>
              <w:top w:w="0" w:type="dxa"/>
              <w:left w:w="108" w:type="dxa"/>
              <w:bottom w:w="0" w:type="dxa"/>
              <w:right w:w="108" w:type="dxa"/>
            </w:tcMar>
            <w:vAlign w:val="center"/>
          </w:tcPr>
          <w:p w14:paraId="29E29695">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nil"/>
              <w:right w:val="single" w:color="000000" w:sz="4" w:space="0"/>
            </w:tcBorders>
            <w:shd w:val="clear" w:color="auto" w:fill="auto"/>
            <w:tcMar>
              <w:top w:w="0" w:type="dxa"/>
              <w:left w:w="108" w:type="dxa"/>
              <w:bottom w:w="0" w:type="dxa"/>
              <w:right w:w="108" w:type="dxa"/>
            </w:tcMar>
            <w:vAlign w:val="center"/>
          </w:tcPr>
          <w:p w14:paraId="0520BBB1">
            <w:pPr>
              <w:pStyle w:val="5"/>
              <w:jc w:val="center"/>
              <w:rPr>
                <w:rFonts w:hint="eastAsia" w:ascii="仿宋_GB2312" w:hAnsi="仿宋_GB2312" w:eastAsia="仿宋_GB2312" w:cs="仿宋_GB2312"/>
                <w:color w:val="000000"/>
                <w:sz w:val="18"/>
                <w:szCs w:val="18"/>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EF30C7E">
            <w:pPr>
              <w:pStyle w:val="5"/>
              <w:spacing w:before="0" w:beforeAutospacing="0" w:after="0" w:afterAutospacing="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病原微生物监测</w:t>
            </w: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309DB95">
            <w:pPr>
              <w:pStyle w:val="5"/>
              <w:spacing w:before="0" w:beforeAutospacing="0" w:after="0" w:afterAutospacing="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多重耐药感染患者监测报告</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B10BAC3">
            <w:pPr>
              <w:pStyle w:val="5"/>
              <w:spacing w:before="0" w:beforeAutospacing="0" w:after="0" w:afterAutospacing="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根据病原送检量</w:t>
            </w:r>
          </w:p>
        </w:tc>
      </w:tr>
      <w:tr w14:paraId="08E52CC0">
        <w:tblPrEx>
          <w:tblCellMar>
            <w:top w:w="15" w:type="dxa"/>
            <w:left w:w="15" w:type="dxa"/>
            <w:bottom w:w="15" w:type="dxa"/>
            <w:right w:w="15" w:type="dxa"/>
          </w:tblCellMar>
        </w:tblPrEx>
        <w:trPr>
          <w:trHeight w:val="1568" w:hRule="atLeast"/>
        </w:trPr>
        <w:tc>
          <w:tcPr>
            <w:tcW w:w="533" w:type="dxa"/>
            <w:vMerge w:val="continue"/>
            <w:tcBorders>
              <w:top w:val="single" w:color="000000" w:sz="4" w:space="0"/>
              <w:left w:val="single" w:color="000000" w:sz="4" w:space="0"/>
              <w:bottom w:val="nil"/>
              <w:right w:val="single" w:color="000000" w:sz="4" w:space="0"/>
            </w:tcBorders>
            <w:shd w:val="clear" w:color="auto" w:fill="auto"/>
            <w:tcMar>
              <w:top w:w="0" w:type="dxa"/>
              <w:left w:w="108" w:type="dxa"/>
              <w:bottom w:w="0" w:type="dxa"/>
              <w:right w:w="108" w:type="dxa"/>
            </w:tcMar>
            <w:vAlign w:val="center"/>
          </w:tcPr>
          <w:p w14:paraId="656C1F5C">
            <w:pPr>
              <w:rPr>
                <w:rFonts w:hint="eastAsia" w:ascii="仿宋_GB2312" w:hAnsi="仿宋_GB2312" w:eastAsia="仿宋_GB2312" w:cs="仿宋_GB2312"/>
                <w:sz w:val="24"/>
              </w:rPr>
            </w:pPr>
          </w:p>
        </w:tc>
        <w:tc>
          <w:tcPr>
            <w:tcW w:w="1068" w:type="dxa"/>
            <w:vMerge w:val="continue"/>
            <w:tcBorders>
              <w:top w:val="single" w:color="000000" w:sz="4" w:space="0"/>
              <w:left w:val="single" w:color="000000" w:sz="4" w:space="0"/>
              <w:bottom w:val="nil"/>
              <w:right w:val="single" w:color="000000" w:sz="4" w:space="0"/>
            </w:tcBorders>
            <w:shd w:val="clear" w:color="auto" w:fill="auto"/>
            <w:tcMar>
              <w:top w:w="0" w:type="dxa"/>
              <w:left w:w="108" w:type="dxa"/>
              <w:bottom w:w="0" w:type="dxa"/>
              <w:right w:w="108" w:type="dxa"/>
            </w:tcMar>
            <w:vAlign w:val="center"/>
          </w:tcPr>
          <w:p w14:paraId="7A59BF41">
            <w:pPr>
              <w:pStyle w:val="5"/>
              <w:jc w:val="center"/>
              <w:rPr>
                <w:rFonts w:hint="eastAsia" w:ascii="仿宋_GB2312" w:hAnsi="仿宋_GB2312" w:eastAsia="仿宋_GB2312" w:cs="仿宋_GB2312"/>
                <w:color w:val="000000"/>
                <w:sz w:val="18"/>
                <w:szCs w:val="18"/>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45EF6F">
            <w:pPr>
              <w:pStyle w:val="5"/>
              <w:spacing w:before="0" w:beforeAutospacing="0" w:after="0" w:afterAutospacing="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病原微实验室生物监测</w:t>
            </w:r>
          </w:p>
        </w:tc>
        <w:tc>
          <w:tcPr>
            <w:tcW w:w="26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85E78F">
            <w:pPr>
              <w:pStyle w:val="5"/>
              <w:spacing w:before="0" w:beforeAutospacing="0" w:after="0" w:afterAutospacing="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治疗性抗菌药物种类及微生物检测种类统计分析表、年度分离菌株及药敏报告分析、临床治疗性抗菌药物的微生物送检率统计分析</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70BF2EE">
            <w:pPr>
              <w:pStyle w:val="5"/>
              <w:spacing w:before="0" w:beforeAutospacing="0" w:after="0" w:afterAutospacing="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每年一次</w:t>
            </w:r>
          </w:p>
        </w:tc>
      </w:tr>
      <w:tr w14:paraId="18F33D47">
        <w:tblPrEx>
          <w:tblCellMar>
            <w:top w:w="15" w:type="dxa"/>
            <w:left w:w="15" w:type="dxa"/>
            <w:bottom w:w="15" w:type="dxa"/>
            <w:right w:w="15" w:type="dxa"/>
          </w:tblCellMar>
        </w:tblPrEx>
        <w:trPr>
          <w:trHeight w:val="579" w:hRule="atLeast"/>
        </w:trPr>
        <w:tc>
          <w:tcPr>
            <w:tcW w:w="811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1134338">
            <w:pPr>
              <w:pStyle w:val="5"/>
              <w:spacing w:before="0" w:beforeAutospacing="0" w:after="0" w:afterAutospacing="0"/>
              <w:ind w:firstLine="4410"/>
              <w:rPr>
                <w:rFonts w:hint="eastAsia" w:ascii="仿宋_GB2312" w:hAnsi="仿宋_GB2312" w:eastAsia="仿宋_GB2312" w:cs="仿宋_GB2312"/>
              </w:rPr>
            </w:pPr>
            <w:r>
              <w:rPr>
                <w:rFonts w:hint="eastAsia" w:ascii="仿宋_GB2312" w:hAnsi="仿宋_GB2312" w:eastAsia="仿宋_GB2312" w:cs="仿宋_GB2312"/>
                <w:color w:val="000000"/>
                <w:sz w:val="21"/>
                <w:szCs w:val="21"/>
              </w:rPr>
              <w:t>合计</w:t>
            </w:r>
          </w:p>
        </w:tc>
      </w:tr>
    </w:tbl>
    <w:p w14:paraId="10270073">
      <w:pPr>
        <w:pStyle w:val="5"/>
        <w:shd w:val="clear" w:color="auto" w:fill="FFFFFF"/>
        <w:spacing w:before="0" w:beforeAutospacing="0" w:after="0" w:afterAutospacing="0" w:line="560" w:lineRule="exact"/>
        <w:ind w:firstLine="560" w:firstLineChars="200"/>
        <w:rPr>
          <w:rFonts w:hint="eastAsia" w:ascii="仿宋_GB2312" w:hAnsi="仿宋_GB2312" w:eastAsia="仿宋_GB2312" w:cs="仿宋_GB2312"/>
          <w:color w:val="222222"/>
          <w:sz w:val="28"/>
          <w:szCs w:val="28"/>
          <w:shd w:val="clear" w:color="auto" w:fill="FFFFFF"/>
          <w:lang w:bidi="ar"/>
        </w:rPr>
      </w:pPr>
      <w:r>
        <w:rPr>
          <w:rFonts w:hint="eastAsia" w:ascii="仿宋_GB2312" w:hAnsi="仿宋_GB2312" w:eastAsia="仿宋_GB2312" w:cs="仿宋_GB2312"/>
          <w:color w:val="222222"/>
          <w:sz w:val="28"/>
          <w:szCs w:val="28"/>
          <w:shd w:val="clear" w:color="auto" w:fill="FFFFFF"/>
          <w:lang w:bidi="ar"/>
        </w:rPr>
        <w:t>（二）信息系统需求</w:t>
      </w:r>
    </w:p>
    <w:p w14:paraId="1AD61A18">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为规范推进检查、检验及心电等外送业务，实现业务闭环与数据互联互通，需对我院与成交供应商信息系统进行对接改造。</w:t>
      </w:r>
      <w:bookmarkStart w:id="0" w:name="_GoBack"/>
      <w:bookmarkEnd w:id="0"/>
      <w:r>
        <w:rPr>
          <w:rFonts w:hint="eastAsia" w:ascii="仿宋_GB2312" w:hAnsi="仿宋_GB2312" w:eastAsia="仿宋_GB2312" w:cs="仿宋_GB2312"/>
          <w:color w:val="000000"/>
          <w:sz w:val="28"/>
          <w:szCs w:val="28"/>
        </w:rPr>
        <w:t>具体内容如下：</w:t>
      </w:r>
    </w:p>
    <w:p w14:paraId="6647C4E8">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1.总体对接原则</w:t>
      </w:r>
    </w:p>
    <w:p w14:paraId="0C75A150">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（1）安全合规：数据传输须遵循《中华人民共和国网络安全法》《中华人民共和国个人信息保护法》及医疗健康数据管理相关规定，通过市医疗云进行数据对接。</w:t>
      </w:r>
    </w:p>
    <w:p w14:paraId="2295FD12">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（2）业务最小影响：对接过程须保证双方现有业务系统的连续稳定运行，各关键环节须具备容错与重试机制。</w:t>
      </w:r>
    </w:p>
    <w:p w14:paraId="31F6BF69">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2.详细功能需求</w:t>
      </w:r>
    </w:p>
    <w:p w14:paraId="44F0F2BC">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（1）HIS开单系统对接及定制化开单界面</w:t>
      </w:r>
    </w:p>
    <w:p w14:paraId="3A5BD95E">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①开单界面集成与定制</w:t>
      </w:r>
    </w:p>
    <w:p w14:paraId="3EFCD06D">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医生工作站中，部署独立的“外送检查/检验/心电”预约系统。界面需根据项目类型（如影像检查、生化检验、心电图等）动态展示不同的项目号源信息。界面需支持患者信息（姓名、医保卡号、身份证号等）自动带入或手工录入。</w:t>
      </w:r>
    </w:p>
    <w:p w14:paraId="6F98A11E">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②收费项目字典库同步</w:t>
      </w:r>
    </w:p>
    <w:p w14:paraId="3A0BF269">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须提供收费项目字典库的标准接口（支持按更新时间增量同步）。我院系统通过接口定期或实时获取最新的检查、检验、心电项目及其价格、医保编码、自费标识等信息。</w:t>
      </w:r>
    </w:p>
    <w:p w14:paraId="5BAEF1CA">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③耗材库同步</w:t>
      </w:r>
    </w:p>
    <w:p w14:paraId="390704C4">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须提供外送项目所需一次性耗材（如采血管、心电电极片等）的字典接口，包括耗材名称、规格、对应收费项目、库存阈值等。</w:t>
      </w:r>
    </w:p>
    <w:p w14:paraId="38ECDFD1">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（2）检查检验报告及影像调阅、回传</w:t>
      </w:r>
    </w:p>
    <w:p w14:paraId="1F009E5E">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①提供与调用方式</w:t>
      </w:r>
    </w:p>
    <w:p w14:paraId="66AD2158">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须提供标准化的结果数据查询/推送接口，按业务规则主动发起查询或推送。确保数据完整、及时到达。</w:t>
      </w:r>
    </w:p>
    <w:p w14:paraId="303AD81A">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②回传内容要求</w:t>
      </w:r>
    </w:p>
    <w:p w14:paraId="7E3B97BE">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检验报告：结构化数据（项目代码、结果值、参考范围、单位、异常标志）及PDF格式正式报告。</w:t>
      </w:r>
    </w:p>
    <w:p w14:paraId="18343B8A">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检查报告（如放射、超声）：结构化报告或PDF报告，以及对应DICOM格式影像或经压缩的通用影像格式（JPEG/PNG序列）。</w:t>
      </w:r>
    </w:p>
    <w:p w14:paraId="544CFD56">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影像及心电原始文件或PDF格式通过安全文件传输协议（如SFTP、HTTS文件上传接口）传输，并在接口消息中包含文件访问URL或唯一标识。</w:t>
      </w:r>
    </w:p>
    <w:p w14:paraId="4F9CC964">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3.检查检验结果调阅地址支持医生查询</w:t>
      </w:r>
    </w:p>
    <w:p w14:paraId="0FF08875">
      <w:pPr>
        <w:pStyle w:val="5"/>
        <w:spacing w:before="0" w:beforeAutospacing="0" w:after="0" w:afterAutospacing="0" w:line="560" w:lineRule="exact"/>
        <w:ind w:firstLine="560" w:firstLineChars="200"/>
        <w:jc w:val="both"/>
        <w:rPr>
          <w:rFonts w:hint="eastAsia" w:ascii="仿宋_GB2312" w:hAnsi="仿宋_GB2312" w:eastAsia="仿宋_GB2312" w:cs="仿宋_GB2312"/>
          <w:sz w:val="22"/>
          <w:szCs w:val="22"/>
        </w:rPr>
      </w:pPr>
      <w:r>
        <w:rPr>
          <w:rFonts w:hint="eastAsia" w:ascii="仿宋_GB2312" w:hAnsi="仿宋_GB2312" w:eastAsia="仿宋_GB2312" w:cs="仿宋_GB2312"/>
          <w:color w:val="000000"/>
          <w:sz w:val="28"/>
          <w:szCs w:val="28"/>
        </w:rPr>
        <w:t>在生成报告后，须为每一份报告生成一个唯一的、具有时效性且权限受控的专网调阅地址（URL）。需提供“结果状态查询”功能并形成PDF格式报告，便于医生判断结果可用性。</w:t>
      </w:r>
    </w:p>
    <w:p w14:paraId="5A75E5F1">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（三）合作过程中报告时限、标本接送需求</w:t>
      </w:r>
    </w:p>
    <w:p w14:paraId="63481834">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1.检验项目</w:t>
      </w:r>
    </w:p>
    <w:p w14:paraId="35470EF1">
      <w:pPr>
        <w:pStyle w:val="5"/>
        <w:spacing w:before="0" w:beforeAutospacing="0" w:after="0" w:afterAutospacing="0" w:line="560" w:lineRule="exact"/>
        <w:ind w:firstLine="42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（1）成交供应商专人一天2趟运输标本（紧急情况加送，成交供应商不得以其他原因拒绝）。</w:t>
      </w:r>
    </w:p>
    <w:p w14:paraId="49A52B6B">
      <w:pPr>
        <w:pStyle w:val="5"/>
        <w:spacing w:before="0" w:beforeAutospacing="0" w:after="0" w:afterAutospacing="0" w:line="560" w:lineRule="exact"/>
        <w:ind w:firstLine="42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（2）为保障检验标本的接收、检验报告回报的及时性，引入第三方信息系统以便双方实验室审核后，临床能第一时间收到检验报告，方便手术、诊疗的时间安排。</w:t>
      </w:r>
    </w:p>
    <w:p w14:paraId="68D9A71A">
      <w:pPr>
        <w:pStyle w:val="5"/>
        <w:spacing w:before="0" w:beforeAutospacing="0" w:after="0" w:afterAutospacing="0" w:line="560" w:lineRule="exact"/>
        <w:ind w:firstLine="42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（3）费用结算时：以第三方信息系统为准。</w:t>
      </w:r>
    </w:p>
    <w:p w14:paraId="145C985A">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2.检查项目</w:t>
      </w:r>
    </w:p>
    <w:p w14:paraId="1CD33A70">
      <w:pPr>
        <w:pStyle w:val="5"/>
        <w:spacing w:before="0" w:beforeAutospacing="0" w:after="0" w:afterAutospacing="0" w:line="560" w:lineRule="exact"/>
        <w:ind w:firstLine="42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（1）我院接入成交供应商的预约系统，我院医生医嘱开单后能直接跳入预约系统，以免人工再次预约出现项目价格不一致情况。</w:t>
      </w:r>
    </w:p>
    <w:p w14:paraId="74A9202E">
      <w:pPr>
        <w:pStyle w:val="5"/>
        <w:spacing w:before="0" w:beforeAutospacing="0" w:after="0" w:afterAutospacing="0" w:line="560" w:lineRule="exact"/>
        <w:ind w:firstLine="42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（2）预约系统能直接看到收费详单，以便我院核对收费，保障我院收费项目和成交供应商保持一致。</w:t>
      </w:r>
    </w:p>
    <w:p w14:paraId="30545FE4">
      <w:pPr>
        <w:pStyle w:val="5"/>
        <w:spacing w:before="0" w:beforeAutospacing="0" w:after="0" w:afterAutospacing="0" w:line="560" w:lineRule="exact"/>
        <w:ind w:firstLine="42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（3）成交供应商需承诺检查项目核磁，CT、超声、心功能、肺功能等预约服务能在2天以内预约上，检查后当天出报告。</w:t>
      </w:r>
    </w:p>
    <w:p w14:paraId="3E0F0EBB">
      <w:pPr>
        <w:pStyle w:val="5"/>
        <w:spacing w:before="0" w:beforeAutospacing="0" w:after="0" w:afterAutospacing="0" w:line="560" w:lineRule="exact"/>
        <w:ind w:firstLine="42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（4）成交供应商周末需正常开展检查检验项目。</w:t>
      </w:r>
    </w:p>
    <w:p w14:paraId="7BA9786F">
      <w:pPr>
        <w:pStyle w:val="5"/>
        <w:spacing w:before="0" w:beforeAutospacing="0" w:after="0" w:afterAutospacing="0" w:line="560" w:lineRule="exact"/>
        <w:ind w:firstLine="42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（5）如遇特殊情况（如夜间）或病情变化，能预约急诊检查。</w:t>
      </w:r>
    </w:p>
    <w:p w14:paraId="6DC99DA5">
      <w:pPr>
        <w:pStyle w:val="5"/>
        <w:spacing w:before="0" w:beforeAutospacing="0" w:after="0" w:afterAutospacing="0" w:line="560" w:lineRule="exact"/>
        <w:ind w:firstLine="42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（6）成交供应商提供相关科室联系方式，以便沟通。</w:t>
      </w:r>
    </w:p>
    <w:p w14:paraId="521EF665">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（7）我院影像系统对接成交供应商影像系统，能直接查看成交供应商的影像及报告并支持打印，无需患者再到成交供应商处打印。</w:t>
      </w:r>
    </w:p>
    <w:p w14:paraId="2370CB86">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3.输血项目</w:t>
      </w:r>
    </w:p>
    <w:p w14:paraId="0A0DB1B0">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近三年数据显示共计输血7例，其中自体输血3例，异体输血4例，输血用量少，无法自行进行紧急备血，拟协商厦门市中心血站同意，紧急用血时从成交供应商血库临时调拨。</w:t>
      </w:r>
    </w:p>
    <w:p w14:paraId="7AD22E75">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输血闭环操作如下：紧急用血时成交供应商输血科发出血袋，其余流程全部在我院完成。即成交供应商血库出库→我院取血入库→用血申请→交叉配血→发血→输血→血袋回收→血袋销毁→相关记录（输血相关手术记录、麻醉记录、护理记录）→归档。</w:t>
      </w:r>
    </w:p>
    <w:p w14:paraId="7AB90592">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4.院感多重耐药菌检测</w:t>
      </w:r>
    </w:p>
    <w:p w14:paraId="21B686E5">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每季度进行1次检测，出具一次检测报告，标本可随检验检查项目标本运输。</w:t>
      </w:r>
    </w:p>
    <w:p w14:paraId="07477495">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5.远程心电诊断</w:t>
      </w:r>
    </w:p>
    <w:p w14:paraId="6653789F">
      <w:pPr>
        <w:pStyle w:val="5"/>
        <w:spacing w:before="0" w:beforeAutospacing="0" w:after="0" w:afterAutospacing="0" w:line="560" w:lineRule="exact"/>
        <w:ind w:firstLine="42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交供应商根据我院实际情况，将远程诊断软件接入我院设备，用于录入检查患者的信息、查看报告结果，提供医院云前置机安装等相关服务。我院上传常规心电原始数据到诊断中心，成交供应商负责提供远程诊断服务，形成诊断报告发至我院接收、打印。</w:t>
      </w:r>
    </w:p>
    <w:p w14:paraId="15B45283">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6.建立工作对接交流群或者联络人电话</w:t>
      </w:r>
    </w:p>
    <w:p w14:paraId="062360CA">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于特殊患者（如高龄、基础疾病复杂），术前术后需要进行一些必要的检查和治疗（如术前评估、术后康复以及术后并发症处理），建立工作沟通群或对接联络人，方便患者转诊和对接（如呼吸内科、心脏内科、烧伤整形科、肿瘤内科、内分泌科、肿瘤放疗科）。</w:t>
      </w:r>
    </w:p>
    <w:p w14:paraId="19EEEA66">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（四）供应商报价</w:t>
      </w:r>
    </w:p>
    <w:p w14:paraId="5A63BE44">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1.成交供应商报价需充分考虑“（一）</w:t>
      </w:r>
      <w:r>
        <w:rPr>
          <w:rFonts w:hint="eastAsia" w:ascii="仿宋_GB2312" w:hAnsi="仿宋_GB2312" w:eastAsia="仿宋_GB2312" w:cs="仿宋_GB2312"/>
          <w:color w:val="222222"/>
          <w:sz w:val="28"/>
          <w:szCs w:val="28"/>
          <w:shd w:val="clear" w:color="auto" w:fill="FFFFFF"/>
          <w:lang w:bidi="ar"/>
        </w:rPr>
        <w:t>服务清单、（二）信息系统需求、（三）</w:t>
      </w:r>
      <w:r>
        <w:rPr>
          <w:rFonts w:hint="eastAsia" w:ascii="仿宋_GB2312" w:hAnsi="仿宋_GB2312" w:eastAsia="仿宋_GB2312" w:cs="仿宋_GB2312"/>
          <w:color w:val="000000"/>
          <w:sz w:val="28"/>
          <w:szCs w:val="28"/>
        </w:rPr>
        <w:t>合作过程中报告时限、标本接送需求”所列所有服务内容及要求，报价需在满足以上要求的基础上进行报价。</w:t>
      </w:r>
    </w:p>
    <w:p w14:paraId="294E8669">
      <w:pPr>
        <w:pStyle w:val="5"/>
        <w:spacing w:before="0" w:beforeAutospacing="0" w:after="0" w:afterAutospacing="0" w:line="560" w:lineRule="exact"/>
        <w:ind w:firstLine="562" w:firstLineChars="200"/>
        <w:jc w:val="both"/>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2.报价方式</w:t>
      </w:r>
    </w:p>
    <w:p w14:paraId="269542B1">
      <w:pPr>
        <w:pStyle w:val="5"/>
        <w:spacing w:before="0" w:beforeAutospacing="0" w:after="0" w:afterAutospacing="0" w:line="560" w:lineRule="exact"/>
        <w:ind w:firstLine="560" w:firstLineChars="200"/>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参考厦门市公立医疗机构政府指导价医疗服务价格，供应商在此收费标准基础上进行</w:t>
      </w:r>
      <w:r>
        <w:rPr>
          <w:rFonts w:hint="eastAsia" w:ascii="仿宋_GB2312" w:hAnsi="仿宋_GB2312" w:eastAsia="仿宋_GB2312" w:cs="仿宋_GB2312"/>
          <w:b/>
          <w:bCs/>
          <w:color w:val="000000"/>
          <w:sz w:val="28"/>
          <w:szCs w:val="28"/>
        </w:rPr>
        <w:t>统一折扣率报价</w:t>
      </w:r>
      <w:r>
        <w:rPr>
          <w:rFonts w:hint="eastAsia" w:ascii="仿宋_GB2312" w:hAnsi="仿宋_GB2312" w:eastAsia="仿宋_GB2312" w:cs="仿宋_GB2312"/>
          <w:color w:val="000000"/>
          <w:sz w:val="28"/>
          <w:szCs w:val="28"/>
        </w:rPr>
        <w:t>，采购人以成交供应商的折扣报价进行结算。如遇（一）</w:t>
      </w:r>
      <w:r>
        <w:rPr>
          <w:rFonts w:hint="eastAsia" w:ascii="仿宋_GB2312" w:hAnsi="仿宋_GB2312" w:eastAsia="仿宋_GB2312" w:cs="仿宋_GB2312"/>
          <w:color w:val="222222"/>
          <w:sz w:val="28"/>
          <w:szCs w:val="28"/>
          <w:shd w:val="clear" w:color="auto" w:fill="FFFFFF"/>
          <w:lang w:bidi="ar"/>
        </w:rPr>
        <w:t>服务清单外项目需成交供应商配合检验检查的项目，同样按照</w:t>
      </w:r>
      <w:r>
        <w:rPr>
          <w:rFonts w:hint="eastAsia" w:ascii="仿宋_GB2312" w:hAnsi="仿宋_GB2312" w:eastAsia="仿宋_GB2312" w:cs="仿宋_GB2312"/>
          <w:color w:val="000000"/>
          <w:sz w:val="28"/>
          <w:szCs w:val="28"/>
        </w:rPr>
        <w:t>统一折扣率进行结算。</w:t>
      </w:r>
    </w:p>
    <w:p w14:paraId="67AB1593">
      <w:pPr>
        <w:pStyle w:val="5"/>
        <w:spacing w:before="0" w:beforeAutospacing="0" w:after="0" w:afterAutospacing="0"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3.结算方式</w:t>
      </w:r>
    </w:p>
    <w:p w14:paraId="1AAB55C3">
      <w:pPr>
        <w:pStyle w:val="5"/>
        <w:numPr>
          <w:ilvl w:val="255"/>
          <w:numId w:val="0"/>
        </w:numPr>
        <w:spacing w:before="0" w:beforeAutospacing="0" w:after="0" w:afterAutospacing="0" w:line="560" w:lineRule="exact"/>
        <w:ind w:firstLine="64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由采购人统一向需要检验检查患者收费，成交供应商不得额外收取。每季度服务结束后，成交供应商向采购人提交经双方工作人员确认后的服务报告（服务报告包含服务内容、季度检验检查收费清单等）、相应金额的正式发票，采购人收到且收齐这些付款采购后统一支付。</w:t>
      </w:r>
    </w:p>
    <w:p w14:paraId="10EF2ECB">
      <w:pPr>
        <w:pStyle w:val="5"/>
        <w:spacing w:before="0" w:beforeAutospacing="0" w:after="0" w:afterAutospacing="0" w:line="560" w:lineRule="exact"/>
        <w:ind w:firstLine="64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4.其他说明</w:t>
      </w:r>
    </w:p>
    <w:p w14:paraId="4298C44D">
      <w:pPr>
        <w:pStyle w:val="5"/>
        <w:numPr>
          <w:ilvl w:val="255"/>
          <w:numId w:val="0"/>
        </w:numPr>
        <w:spacing w:before="0" w:beforeAutospacing="0" w:after="0" w:afterAutospacing="0" w:line="560" w:lineRule="exact"/>
        <w:ind w:firstLine="560" w:firstLineChars="200"/>
        <w:jc w:val="both"/>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000000"/>
          <w:sz w:val="28"/>
          <w:szCs w:val="28"/>
        </w:rPr>
        <w:t>采购人除按双方确认过的季度检验检查收费清单向成交供应商支付费用，成交供应商不得向采购人收取额外费用。</w:t>
      </w:r>
    </w:p>
    <w:p w14:paraId="55681A6A">
      <w:pPr>
        <w:keepNext w:val="0"/>
        <w:keepLines w:val="0"/>
        <w:pageBreakBefore w:val="0"/>
        <w:kinsoku/>
        <w:wordWrap/>
        <w:overflowPunct/>
        <w:topLinePunct w:val="0"/>
        <w:autoSpaceDE/>
        <w:autoSpaceDN/>
        <w:bidi w:val="0"/>
        <w:adjustRightInd/>
        <w:snapToGrid/>
        <w:spacing w:line="480" w:lineRule="exact"/>
        <w:ind w:right="0" w:rightChars="0" w:firstLine="480"/>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bCs w:val="0"/>
          <w:color w:val="auto"/>
          <w:kern w:val="2"/>
          <w:sz w:val="28"/>
          <w:szCs w:val="28"/>
          <w:highlight w:val="none"/>
          <w:lang w:val="en-US" w:eastAsia="zh-CN" w:bidi="ar-SA"/>
        </w:rPr>
        <w:t>三、对于以上采购内容及需求条款供应商均需作出服务承诺。因中标供应商原因造成的部分医技检验检查项目外送服务工作开展延误，我院有权拒付延误当次服务费用；累计延误达3次，我院有权取消供应商中标资格，拒付未结服务费用，并追究因中标供应商延误造成损失。</w:t>
      </w:r>
    </w:p>
    <w:p w14:paraId="18534A5B">
      <w:pPr>
        <w:pStyle w:val="10"/>
        <w:rPr>
          <w:rFonts w:hint="eastAsia" w:ascii="宋体" w:hAnsi="宋体" w:cs="宋体"/>
          <w:b w:val="0"/>
          <w:bCs/>
          <w:color w:val="auto"/>
          <w:kern w:val="2"/>
          <w:sz w:val="24"/>
          <w:szCs w:val="24"/>
          <w:highlight w:val="none"/>
          <w:lang w:val="en-US" w:eastAsia="zh-CN" w:bidi="ar-SA"/>
        </w:rPr>
      </w:pPr>
    </w:p>
    <w:p w14:paraId="6958384D">
      <w:pPr>
        <w:pStyle w:val="10"/>
        <w:numPr>
          <w:ilvl w:val="0"/>
          <w:numId w:val="0"/>
        </w:numPr>
        <w:rPr>
          <w:rFonts w:hint="default" w:ascii="宋体" w:hAnsi="宋体" w:eastAsia="宋体" w:cs="宋体"/>
          <w:b w:val="0"/>
          <w:bCs/>
          <w:color w:val="auto"/>
          <w:kern w:val="2"/>
          <w:sz w:val="24"/>
          <w:szCs w:val="24"/>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KSOF4B1AA1F4">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wYzE2ZmNlZGJhYmJkZjM1YjBmZGQzYzY3Y2QxMDQifQ=="/>
  </w:docVars>
  <w:rsids>
    <w:rsidRoot w:val="00000000"/>
    <w:rsid w:val="00F12A8D"/>
    <w:rsid w:val="010A678F"/>
    <w:rsid w:val="026223A4"/>
    <w:rsid w:val="03885E3A"/>
    <w:rsid w:val="0624450F"/>
    <w:rsid w:val="078C7145"/>
    <w:rsid w:val="0B5F3D37"/>
    <w:rsid w:val="0B993C10"/>
    <w:rsid w:val="0F306556"/>
    <w:rsid w:val="1008458B"/>
    <w:rsid w:val="10B454FB"/>
    <w:rsid w:val="19C332D1"/>
    <w:rsid w:val="1F8225E1"/>
    <w:rsid w:val="26655E3B"/>
    <w:rsid w:val="273F1938"/>
    <w:rsid w:val="284A364B"/>
    <w:rsid w:val="286D0B9A"/>
    <w:rsid w:val="28C96261"/>
    <w:rsid w:val="28CD268B"/>
    <w:rsid w:val="29DE74F7"/>
    <w:rsid w:val="2D4542D1"/>
    <w:rsid w:val="30D37E45"/>
    <w:rsid w:val="310F2CE0"/>
    <w:rsid w:val="35496928"/>
    <w:rsid w:val="35E709C9"/>
    <w:rsid w:val="37FB65FF"/>
    <w:rsid w:val="3C577B7C"/>
    <w:rsid w:val="45817A44"/>
    <w:rsid w:val="45B46040"/>
    <w:rsid w:val="4B4C4C8F"/>
    <w:rsid w:val="4CA30BBC"/>
    <w:rsid w:val="4CA80FA5"/>
    <w:rsid w:val="4CF803E4"/>
    <w:rsid w:val="502A55D6"/>
    <w:rsid w:val="502E40D8"/>
    <w:rsid w:val="578B3A93"/>
    <w:rsid w:val="5BC61C47"/>
    <w:rsid w:val="5E417349"/>
    <w:rsid w:val="5EF455F7"/>
    <w:rsid w:val="609E0CAC"/>
    <w:rsid w:val="61693D2A"/>
    <w:rsid w:val="64653CE9"/>
    <w:rsid w:val="6516679E"/>
    <w:rsid w:val="672577CD"/>
    <w:rsid w:val="688418E5"/>
    <w:rsid w:val="6A8F4967"/>
    <w:rsid w:val="6C7B7C5C"/>
    <w:rsid w:val="6D907581"/>
    <w:rsid w:val="729A63E3"/>
    <w:rsid w:val="72B85A50"/>
    <w:rsid w:val="7465445E"/>
    <w:rsid w:val="7492217A"/>
    <w:rsid w:val="7782124A"/>
    <w:rsid w:val="7C602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hAnsi="宋体"/>
    </w:rPr>
  </w:style>
  <w:style w:type="paragraph" w:styleId="4">
    <w:name w:val="toc 1"/>
    <w:basedOn w:val="1"/>
    <w:next w:val="1"/>
    <w:qFormat/>
    <w:uiPriority w:val="39"/>
    <w:rPr>
      <w:rFonts w:ascii="Times New Roman" w:hAnsi="Times New Roman"/>
      <w:szCs w:val="24"/>
    </w:rPr>
  </w:style>
  <w:style w:type="paragraph" w:styleId="5">
    <w:name w:val="Normal (Web)"/>
    <w:basedOn w:val="1"/>
    <w:unhideWhenUsed/>
    <w:qFormat/>
    <w:uiPriority w:val="0"/>
    <w:rPr>
      <w:rFonts w:ascii="Times New Roman" w:hAnsi="Times New Roman"/>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rFonts w:ascii="Calibri" w:hAnsi="Calibri" w:eastAsia="宋体" w:cs="Times New Roman"/>
      <w:b/>
      <w:bCs/>
    </w:r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1">
    <w:name w:val="font01"/>
    <w:basedOn w:val="8"/>
    <w:qFormat/>
    <w:uiPriority w:val="0"/>
    <w:rPr>
      <w:rFonts w:hint="eastAsia" w:ascii="宋体" w:hAnsi="宋体" w:eastAsia="宋体" w:cs="宋体"/>
      <w:b/>
      <w:bCs/>
      <w:color w:val="000000"/>
      <w:sz w:val="24"/>
      <w:szCs w:val="24"/>
      <w:u w:val="none"/>
    </w:rPr>
  </w:style>
  <w:style w:type="character" w:customStyle="1" w:styleId="12">
    <w:name w:val="font41"/>
    <w:basedOn w:val="8"/>
    <w:qFormat/>
    <w:uiPriority w:val="0"/>
    <w:rPr>
      <w:rFonts w:hint="eastAsia" w:ascii="宋体" w:hAnsi="宋体" w:eastAsia="宋体" w:cs="宋体"/>
      <w:b/>
      <w:bCs/>
      <w:color w:val="000000"/>
      <w:sz w:val="24"/>
      <w:szCs w:val="24"/>
      <w:u w:val="single"/>
    </w:rPr>
  </w:style>
  <w:style w:type="paragraph" w:customStyle="1" w:styleId="13">
    <w:name w:val="Char Char Char Char Char Char Char"/>
    <w:basedOn w:val="1"/>
    <w:qFormat/>
    <w:uiPriority w:val="0"/>
    <w:rPr>
      <w:rFonts w:ascii="Times New Roman" w:hAnsi="Times New Roman" w:eastAsia="宋体" w:cs="Times New Roman"/>
      <w:szCs w:val="24"/>
    </w:rPr>
  </w:style>
  <w:style w:type="paragraph" w:customStyle="1" w:styleId="14">
    <w:name w:val="表头文本"/>
    <w:basedOn w:val="1"/>
    <w:qFormat/>
    <w:uiPriority w:val="0"/>
    <w:pPr>
      <w:autoSpaceDE w:val="0"/>
      <w:autoSpaceDN w:val="0"/>
      <w:adjustRightInd w:val="0"/>
      <w:jc w:val="center"/>
    </w:pPr>
    <w:rPr>
      <w:rFonts w:ascii="Times New Roman" w:hAnsi="Times New Roman" w:eastAsia="宋体" w:cs="Times New Roman"/>
      <w:b/>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3047</Words>
  <Characters>3109</Characters>
  <Lines>0</Lines>
  <Paragraphs>0</Paragraphs>
  <TotalTime>22</TotalTime>
  <ScaleCrop>false</ScaleCrop>
  <LinksUpToDate>false</LinksUpToDate>
  <CharactersWithSpaces>3114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2023-03-14T12:52:00Z</dcterms:created>
  <dc:creator>Administrator</dc:creator>
  <cp:lastModifiedBy>svfly</cp:lastModifiedBy>
  <dcterms:modified xsi:type="dcterms:W3CDTF">2026-04-28T03:50:43Z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487F050D1A2843D7B5EA519F2FBE17E2_13</vt:lpwstr>
  </property>
  <property fmtid="{D5CDD505-2E9C-101B-9397-08002B2CF9AE}" pid="4" name="KSOTemplateDocerSaveRecord">
    <vt:lpwstr>eyJoZGlkIjoiZjE3YmNjODliZGMzMmZiZGJmZmRhMTg1ZTk1OGU5ZDEiLCJ1c2VySWQiOiIzNDc4MjE1In0=</vt:lpwstr>
  </property>
</Properties>
</file>