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1DF4B0">
      <w:pPr>
        <w:pStyle w:val="6"/>
        <w:widowControl/>
        <w:spacing w:line="480" w:lineRule="auto"/>
        <w:ind w:firstLine="2530" w:firstLineChars="700"/>
        <w:rPr>
          <w:rFonts w:hint="eastAsia" w:ascii="宋体" w:hAnsi="宋体" w:cs="宋体"/>
          <w:b/>
          <w:color w:val="auto"/>
          <w:highlight w:val="none"/>
        </w:rPr>
      </w:pPr>
      <w:r>
        <w:rPr>
          <w:rFonts w:hint="eastAsia" w:ascii="宋体" w:hAnsi="宋体"/>
          <w:b/>
          <w:bCs/>
          <w:color w:val="auto"/>
          <w:sz w:val="36"/>
          <w:szCs w:val="36"/>
          <w:highlight w:val="none"/>
          <w:lang w:val="en-US" w:eastAsia="zh-CN"/>
        </w:rPr>
        <w:t>需求内容-虫害防治服务</w:t>
      </w:r>
    </w:p>
    <w:p w14:paraId="1D3F5DD8">
      <w:pPr>
        <w:pStyle w:val="6"/>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rPr>
          <w:rFonts w:ascii="宋体" w:hAnsi="宋体" w:cs="宋体"/>
          <w:b/>
          <w:color w:val="auto"/>
          <w:highlight w:val="none"/>
        </w:rPr>
      </w:pPr>
      <w:r>
        <w:rPr>
          <w:rFonts w:hint="eastAsia" w:ascii="宋体" w:hAnsi="宋体" w:cs="宋体"/>
          <w:b/>
          <w:color w:val="auto"/>
          <w:highlight w:val="none"/>
        </w:rPr>
        <w:t>一、项目概况（采购标的）</w:t>
      </w:r>
    </w:p>
    <w:p w14:paraId="66FE28FB">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highlight w:val="none"/>
          <w:lang w:eastAsia="zh-CN"/>
        </w:rPr>
      </w:pPr>
      <w:r>
        <w:rPr>
          <w:rFonts w:hint="eastAsia" w:ascii="宋体" w:hAnsi="宋体" w:cs="宋体"/>
          <w:color w:val="auto"/>
          <w:highlight w:val="none"/>
        </w:rPr>
        <w:t>本项目为厦门市</w:t>
      </w:r>
      <w:r>
        <w:rPr>
          <w:rFonts w:hint="eastAsia" w:ascii="宋体" w:hAnsi="宋体" w:cs="宋体"/>
          <w:color w:val="auto"/>
          <w:highlight w:val="none"/>
          <w:lang w:val="en-US" w:eastAsia="zh-CN"/>
        </w:rPr>
        <w:t>医学院附属口腔</w:t>
      </w:r>
      <w:r>
        <w:rPr>
          <w:rFonts w:hint="eastAsia" w:ascii="宋体" w:hAnsi="宋体" w:cs="宋体"/>
          <w:color w:val="auto"/>
          <w:highlight w:val="none"/>
        </w:rPr>
        <w:t>医院“四害”消杀服务采购项目，涉及除四害用到的药品、人员、服务过程中所需的一切设备或其他材料均由成交供应商支出，报价人须按招标文件要求提供相应服务，服务标准需遵循相关国家或行业标准</w:t>
      </w:r>
      <w:r>
        <w:rPr>
          <w:rFonts w:hint="eastAsia" w:ascii="宋体" w:hAnsi="宋体" w:cs="宋体"/>
          <w:color w:val="auto"/>
          <w:highlight w:val="none"/>
          <w:lang w:eastAsia="zh-CN"/>
        </w:rPr>
        <w:t>。</w:t>
      </w:r>
    </w:p>
    <w:p w14:paraId="46BF894D">
      <w:pPr>
        <w:pStyle w:val="6"/>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color w:val="auto"/>
          <w:highlight w:val="none"/>
        </w:rPr>
      </w:pPr>
      <w:r>
        <w:rPr>
          <w:rFonts w:hint="eastAsia" w:ascii="宋体" w:hAnsi="宋体" w:cs="宋体"/>
          <w:b/>
          <w:color w:val="auto"/>
          <w:highlight w:val="none"/>
          <w:lang w:val="en-US" w:eastAsia="zh-CN"/>
        </w:rPr>
        <w:t>二、</w:t>
      </w:r>
      <w:r>
        <w:rPr>
          <w:rFonts w:hint="eastAsia" w:ascii="宋体" w:hAnsi="宋体" w:cs="宋体"/>
          <w:b/>
          <w:color w:val="auto"/>
          <w:highlight w:val="none"/>
        </w:rPr>
        <w:t>技术和服务要求</w:t>
      </w:r>
    </w:p>
    <w:p w14:paraId="2F078BB9">
      <w:pPr>
        <w:pStyle w:val="6"/>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color w:val="FF0000"/>
          <w:highlight w:val="none"/>
          <w:lang w:val="en-US" w:eastAsia="zh-CN"/>
        </w:rPr>
      </w:pPr>
      <w:r>
        <w:rPr>
          <w:rFonts w:hint="eastAsia" w:ascii="宋体" w:hAnsi="宋体" w:cs="宋体"/>
          <w:b/>
          <w:color w:val="FF0000"/>
          <w:highlight w:val="none"/>
          <w:lang w:val="en-US" w:eastAsia="zh-CN"/>
        </w:rPr>
        <w:t>本项目最高控制价9万/2年</w:t>
      </w:r>
    </w:p>
    <w:p w14:paraId="470B727D">
      <w:pPr>
        <w:pStyle w:val="6"/>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rPr>
          <w:rFonts w:ascii="宋体" w:hAnsi="宋体" w:cs="宋体"/>
          <w:b/>
          <w:bCs/>
          <w:color w:val="auto"/>
          <w:highlight w:val="none"/>
        </w:rPr>
      </w:pPr>
      <w:r>
        <w:rPr>
          <w:rFonts w:hint="eastAsia" w:ascii="宋体" w:hAnsi="宋体" w:cs="宋体"/>
          <w:b/>
          <w:bCs/>
          <w:color w:val="auto"/>
          <w:highlight w:val="none"/>
        </w:rPr>
        <w:t>1、消杀范围，具体如下表所示：</w:t>
      </w:r>
    </w:p>
    <w:tbl>
      <w:tblPr>
        <w:tblStyle w:val="7"/>
        <w:tblW w:w="9788" w:type="dxa"/>
        <w:jc w:val="center"/>
        <w:tblLayout w:type="autofit"/>
        <w:tblCellMar>
          <w:top w:w="0" w:type="dxa"/>
          <w:left w:w="108" w:type="dxa"/>
          <w:bottom w:w="0" w:type="dxa"/>
          <w:right w:w="108" w:type="dxa"/>
        </w:tblCellMar>
      </w:tblPr>
      <w:tblGrid>
        <w:gridCol w:w="775"/>
        <w:gridCol w:w="1430"/>
        <w:gridCol w:w="1696"/>
        <w:gridCol w:w="4593"/>
        <w:gridCol w:w="1294"/>
      </w:tblGrid>
      <w:tr w14:paraId="2C139B46">
        <w:tblPrEx>
          <w:tblCellMar>
            <w:top w:w="0" w:type="dxa"/>
            <w:left w:w="108" w:type="dxa"/>
            <w:bottom w:w="0" w:type="dxa"/>
            <w:right w:w="108" w:type="dxa"/>
          </w:tblCellMar>
        </w:tblPrEx>
        <w:trPr>
          <w:trHeight w:val="402" w:hRule="atLeast"/>
          <w:jc w:val="center"/>
        </w:trPr>
        <w:tc>
          <w:tcPr>
            <w:tcW w:w="775" w:type="dxa"/>
            <w:tcBorders>
              <w:top w:val="single" w:color="auto" w:sz="4" w:space="0"/>
              <w:left w:val="single" w:color="auto" w:sz="4" w:space="0"/>
              <w:bottom w:val="single" w:color="auto" w:sz="4" w:space="0"/>
              <w:right w:val="single" w:color="auto" w:sz="4" w:space="0"/>
            </w:tcBorders>
            <w:noWrap w:val="0"/>
            <w:vAlign w:val="center"/>
          </w:tcPr>
          <w:p w14:paraId="30C60C8D">
            <w:pPr>
              <w:jc w:val="center"/>
              <w:rPr>
                <w:rFonts w:ascii="宋体" w:hAnsi="宋体"/>
                <w:color w:val="auto"/>
                <w:sz w:val="24"/>
                <w:szCs w:val="24"/>
                <w:highlight w:val="none"/>
              </w:rPr>
            </w:pPr>
            <w:r>
              <w:rPr>
                <w:rFonts w:hint="eastAsia" w:ascii="宋体" w:hAnsi="宋体"/>
                <w:color w:val="auto"/>
                <w:sz w:val="24"/>
                <w:szCs w:val="24"/>
                <w:highlight w:val="none"/>
              </w:rPr>
              <w:t>序号</w:t>
            </w:r>
          </w:p>
        </w:tc>
        <w:tc>
          <w:tcPr>
            <w:tcW w:w="1430" w:type="dxa"/>
            <w:tcBorders>
              <w:top w:val="single" w:color="auto" w:sz="4" w:space="0"/>
              <w:left w:val="nil"/>
              <w:bottom w:val="single" w:color="auto" w:sz="4" w:space="0"/>
              <w:right w:val="single" w:color="auto" w:sz="4" w:space="0"/>
            </w:tcBorders>
            <w:noWrap w:val="0"/>
            <w:vAlign w:val="center"/>
          </w:tcPr>
          <w:p w14:paraId="36E57E15">
            <w:pPr>
              <w:jc w:val="center"/>
              <w:rPr>
                <w:rFonts w:ascii="宋体" w:hAnsi="宋体"/>
                <w:color w:val="auto"/>
                <w:sz w:val="24"/>
                <w:szCs w:val="24"/>
                <w:highlight w:val="none"/>
              </w:rPr>
            </w:pPr>
            <w:r>
              <w:rPr>
                <w:rFonts w:hint="eastAsia" w:ascii="宋体" w:hAnsi="宋体"/>
                <w:color w:val="auto"/>
                <w:sz w:val="24"/>
                <w:szCs w:val="24"/>
                <w:highlight w:val="none"/>
              </w:rPr>
              <w:t>主要项目</w:t>
            </w:r>
          </w:p>
        </w:tc>
        <w:tc>
          <w:tcPr>
            <w:tcW w:w="1696" w:type="dxa"/>
            <w:tcBorders>
              <w:top w:val="single" w:color="auto" w:sz="4" w:space="0"/>
              <w:left w:val="nil"/>
              <w:bottom w:val="single" w:color="auto" w:sz="4" w:space="0"/>
              <w:right w:val="single" w:color="auto" w:sz="4" w:space="0"/>
            </w:tcBorders>
            <w:noWrap w:val="0"/>
            <w:vAlign w:val="center"/>
          </w:tcPr>
          <w:p w14:paraId="0AC4A1CE">
            <w:pPr>
              <w:jc w:val="center"/>
              <w:rPr>
                <w:rFonts w:ascii="宋体" w:hAnsi="宋体"/>
                <w:color w:val="auto"/>
                <w:sz w:val="24"/>
                <w:szCs w:val="24"/>
                <w:highlight w:val="none"/>
              </w:rPr>
            </w:pPr>
            <w:r>
              <w:rPr>
                <w:rFonts w:hint="eastAsia" w:ascii="宋体" w:hAnsi="宋体"/>
                <w:color w:val="auto"/>
                <w:sz w:val="24"/>
                <w:szCs w:val="24"/>
                <w:highlight w:val="none"/>
              </w:rPr>
              <w:t>防治范围</w:t>
            </w:r>
          </w:p>
        </w:tc>
        <w:tc>
          <w:tcPr>
            <w:tcW w:w="4593" w:type="dxa"/>
            <w:tcBorders>
              <w:top w:val="single" w:color="auto" w:sz="4" w:space="0"/>
              <w:left w:val="nil"/>
              <w:bottom w:val="single" w:color="auto" w:sz="4" w:space="0"/>
              <w:right w:val="single" w:color="auto" w:sz="4" w:space="0"/>
            </w:tcBorders>
            <w:noWrap w:val="0"/>
            <w:vAlign w:val="center"/>
          </w:tcPr>
          <w:p w14:paraId="3DB3BD2C">
            <w:pPr>
              <w:jc w:val="center"/>
              <w:rPr>
                <w:rFonts w:ascii="宋体" w:hAnsi="宋体"/>
                <w:color w:val="auto"/>
                <w:sz w:val="24"/>
                <w:szCs w:val="24"/>
                <w:highlight w:val="none"/>
              </w:rPr>
            </w:pPr>
            <w:r>
              <w:rPr>
                <w:rFonts w:hint="eastAsia" w:ascii="宋体" w:hAnsi="宋体"/>
                <w:color w:val="auto"/>
                <w:sz w:val="24"/>
                <w:szCs w:val="24"/>
                <w:highlight w:val="none"/>
              </w:rPr>
              <w:t>服务要求</w:t>
            </w:r>
          </w:p>
        </w:tc>
        <w:tc>
          <w:tcPr>
            <w:tcW w:w="1294" w:type="dxa"/>
            <w:tcBorders>
              <w:top w:val="single" w:color="auto" w:sz="4" w:space="0"/>
              <w:left w:val="nil"/>
              <w:bottom w:val="single" w:color="auto" w:sz="4" w:space="0"/>
              <w:right w:val="single" w:color="auto" w:sz="4" w:space="0"/>
            </w:tcBorders>
            <w:noWrap w:val="0"/>
            <w:vAlign w:val="center"/>
          </w:tcPr>
          <w:p w14:paraId="08DEEA1E">
            <w:pPr>
              <w:jc w:val="center"/>
              <w:rPr>
                <w:rFonts w:ascii="宋体" w:hAnsi="宋体"/>
                <w:color w:val="auto"/>
                <w:sz w:val="24"/>
                <w:szCs w:val="24"/>
                <w:highlight w:val="none"/>
              </w:rPr>
            </w:pPr>
            <w:r>
              <w:rPr>
                <w:rFonts w:hint="eastAsia" w:ascii="宋体" w:hAnsi="宋体"/>
                <w:color w:val="auto"/>
                <w:sz w:val="24"/>
                <w:szCs w:val="24"/>
                <w:highlight w:val="none"/>
              </w:rPr>
              <w:t>技术要求</w:t>
            </w:r>
          </w:p>
        </w:tc>
      </w:tr>
      <w:tr w14:paraId="1EEEBDF5">
        <w:tblPrEx>
          <w:tblCellMar>
            <w:top w:w="0" w:type="dxa"/>
            <w:left w:w="108" w:type="dxa"/>
            <w:bottom w:w="0" w:type="dxa"/>
            <w:right w:w="108" w:type="dxa"/>
          </w:tblCellMar>
        </w:tblPrEx>
        <w:trPr>
          <w:trHeight w:val="551" w:hRule="atLeast"/>
          <w:jc w:val="center"/>
        </w:trPr>
        <w:tc>
          <w:tcPr>
            <w:tcW w:w="775" w:type="dxa"/>
            <w:tcBorders>
              <w:top w:val="nil"/>
              <w:left w:val="single" w:color="auto" w:sz="4" w:space="0"/>
              <w:bottom w:val="single" w:color="auto" w:sz="4" w:space="0"/>
              <w:right w:val="single" w:color="auto" w:sz="4" w:space="0"/>
            </w:tcBorders>
            <w:noWrap w:val="0"/>
            <w:vAlign w:val="center"/>
          </w:tcPr>
          <w:p w14:paraId="18A13DEF">
            <w:pPr>
              <w:jc w:val="center"/>
              <w:rPr>
                <w:rFonts w:ascii="宋体" w:hAnsi="宋体"/>
                <w:color w:val="auto"/>
                <w:sz w:val="24"/>
                <w:szCs w:val="24"/>
                <w:highlight w:val="none"/>
              </w:rPr>
            </w:pPr>
            <w:r>
              <w:rPr>
                <w:rFonts w:hint="eastAsia" w:ascii="宋体" w:hAnsi="宋体"/>
                <w:color w:val="auto"/>
                <w:sz w:val="24"/>
                <w:szCs w:val="24"/>
                <w:highlight w:val="none"/>
              </w:rPr>
              <w:t>1</w:t>
            </w:r>
          </w:p>
        </w:tc>
        <w:tc>
          <w:tcPr>
            <w:tcW w:w="1430" w:type="dxa"/>
            <w:tcBorders>
              <w:top w:val="single" w:color="auto" w:sz="4" w:space="0"/>
              <w:left w:val="single" w:color="auto" w:sz="4" w:space="0"/>
              <w:bottom w:val="single" w:color="auto" w:sz="4" w:space="0"/>
              <w:right w:val="single" w:color="auto" w:sz="4" w:space="0"/>
            </w:tcBorders>
            <w:noWrap w:val="0"/>
            <w:vAlign w:val="center"/>
          </w:tcPr>
          <w:p w14:paraId="7B870EF1">
            <w:pPr>
              <w:jc w:val="center"/>
              <w:rPr>
                <w:rFonts w:ascii="宋体" w:hAnsi="宋体"/>
                <w:color w:val="auto"/>
                <w:sz w:val="24"/>
                <w:szCs w:val="24"/>
                <w:highlight w:val="none"/>
              </w:rPr>
            </w:pPr>
            <w:r>
              <w:rPr>
                <w:rFonts w:hint="eastAsia" w:ascii="宋体" w:hAnsi="宋体"/>
                <w:color w:val="auto"/>
                <w:sz w:val="24"/>
                <w:szCs w:val="24"/>
                <w:highlight w:val="none"/>
              </w:rPr>
              <w:t>蚊、蝇、蟑螂、老鼠、</w:t>
            </w:r>
            <w:r>
              <w:rPr>
                <w:rFonts w:hint="eastAsia" w:ascii="宋体" w:hAnsi="宋体"/>
                <w:color w:val="auto"/>
                <w:sz w:val="24"/>
                <w:szCs w:val="24"/>
                <w:highlight w:val="none"/>
                <w:lang w:val="en-US" w:eastAsia="zh-CN"/>
              </w:rPr>
              <w:t>白蚁</w:t>
            </w:r>
            <w:r>
              <w:rPr>
                <w:rFonts w:hint="eastAsia" w:ascii="宋体" w:hAnsi="宋体"/>
                <w:color w:val="auto"/>
                <w:sz w:val="24"/>
                <w:szCs w:val="24"/>
                <w:highlight w:val="none"/>
              </w:rPr>
              <w:t>等有害生物</w:t>
            </w:r>
          </w:p>
        </w:tc>
        <w:tc>
          <w:tcPr>
            <w:tcW w:w="1696" w:type="dxa"/>
            <w:tcBorders>
              <w:top w:val="single" w:color="auto" w:sz="4" w:space="0"/>
              <w:left w:val="nil"/>
              <w:bottom w:val="single" w:color="auto" w:sz="4" w:space="0"/>
              <w:right w:val="single" w:color="auto" w:sz="4" w:space="0"/>
            </w:tcBorders>
            <w:noWrap w:val="0"/>
            <w:vAlign w:val="center"/>
          </w:tcPr>
          <w:p w14:paraId="2594AC5A">
            <w:pPr>
              <w:jc w:val="center"/>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color w:val="auto"/>
                <w:sz w:val="24"/>
                <w:szCs w:val="24"/>
                <w:highlight w:val="none"/>
              </w:rPr>
              <w:t>总院</w:t>
            </w: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斗西</w:t>
            </w:r>
            <w:r>
              <w:rPr>
                <w:rFonts w:hint="eastAsia" w:ascii="宋体" w:hAnsi="宋体"/>
                <w:color w:val="auto"/>
                <w:sz w:val="24"/>
                <w:szCs w:val="24"/>
                <w:highlight w:val="none"/>
                <w:lang w:eastAsia="zh-CN"/>
              </w:rPr>
              <w:t>院区</w:t>
            </w:r>
            <w:r>
              <w:rPr>
                <w:rFonts w:hint="eastAsia" w:ascii="宋体" w:hAnsi="宋体"/>
                <w:color w:val="auto"/>
                <w:sz w:val="24"/>
                <w:szCs w:val="24"/>
                <w:highlight w:val="none"/>
                <w:lang w:val="en-US" w:eastAsia="zh-CN"/>
              </w:rPr>
              <w:t>和集美院区</w:t>
            </w:r>
            <w:r>
              <w:rPr>
                <w:rFonts w:hint="eastAsia" w:ascii="宋体" w:hAnsi="宋体"/>
                <w:color w:val="auto"/>
                <w:sz w:val="24"/>
                <w:szCs w:val="24"/>
                <w:highlight w:val="none"/>
              </w:rPr>
              <w:t>，不仅限于围墙内的室内、室外、地下室等全院环境</w:t>
            </w:r>
            <w:r>
              <w:rPr>
                <w:rFonts w:hint="eastAsia" w:ascii="宋体" w:hAnsi="宋体"/>
                <w:color w:val="000000" w:themeColor="text1"/>
                <w:sz w:val="24"/>
                <w:szCs w:val="24"/>
                <w:highlight w:val="none"/>
                <w:lang w:eastAsia="zh-CN"/>
                <w14:textFill>
                  <w14:solidFill>
                    <w14:schemeClr w14:val="tx1"/>
                  </w14:solidFill>
                </w14:textFill>
              </w:rPr>
              <w:t>（</w:t>
            </w:r>
            <w:r>
              <w:rPr>
                <w:rFonts w:hint="eastAsia" w:ascii="宋体" w:hAnsi="宋体"/>
                <w:color w:val="000000" w:themeColor="text1"/>
                <w:sz w:val="24"/>
                <w:szCs w:val="24"/>
                <w:highlight w:val="none"/>
                <w:lang w:val="en-US" w:eastAsia="zh-CN"/>
                <w14:textFill>
                  <w14:solidFill>
                    <w14:schemeClr w14:val="tx1"/>
                  </w14:solidFill>
                </w14:textFill>
              </w:rPr>
              <w:t>总院11000平方米、斗西院区7000平方米、集美院区13000平方米</w:t>
            </w:r>
            <w:r>
              <w:rPr>
                <w:rFonts w:hint="eastAsia" w:ascii="宋体" w:hAnsi="宋体"/>
                <w:color w:val="000000" w:themeColor="text1"/>
                <w:sz w:val="24"/>
                <w:szCs w:val="24"/>
                <w:highlight w:val="none"/>
                <w:lang w:eastAsia="zh-CN"/>
                <w14:textFill>
                  <w14:solidFill>
                    <w14:schemeClr w14:val="tx1"/>
                  </w14:solidFill>
                </w14:textFill>
              </w:rPr>
              <w:t>）</w:t>
            </w:r>
          </w:p>
          <w:p w14:paraId="010B0591">
            <w:pPr>
              <w:pStyle w:val="2"/>
              <w:rPr>
                <w:rFonts w:hint="default"/>
                <w:lang w:val="en-US" w:eastAsia="zh-CN"/>
              </w:rPr>
            </w:pPr>
          </w:p>
        </w:tc>
        <w:tc>
          <w:tcPr>
            <w:tcW w:w="4593" w:type="dxa"/>
            <w:tcBorders>
              <w:top w:val="single" w:color="auto" w:sz="4" w:space="0"/>
              <w:left w:val="single" w:color="auto" w:sz="4" w:space="0"/>
              <w:bottom w:val="single" w:color="auto" w:sz="4" w:space="0"/>
              <w:right w:val="single" w:color="auto" w:sz="4" w:space="0"/>
            </w:tcBorders>
            <w:noWrap w:val="0"/>
            <w:vAlign w:val="center"/>
          </w:tcPr>
          <w:p w14:paraId="230176C1">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w:t>
            </w:r>
            <w:r>
              <w:rPr>
                <w:rFonts w:hint="eastAsia" w:ascii="宋体" w:hAnsi="宋体"/>
                <w:color w:val="auto"/>
                <w:sz w:val="24"/>
                <w:szCs w:val="24"/>
                <w:highlight w:val="none"/>
                <w:lang w:val="en-US" w:eastAsia="zh-CN"/>
              </w:rPr>
              <w:t>蔡塘</w:t>
            </w:r>
            <w:r>
              <w:rPr>
                <w:rFonts w:hint="eastAsia" w:ascii="宋体" w:hAnsi="宋体"/>
                <w:color w:val="auto"/>
                <w:sz w:val="24"/>
                <w:szCs w:val="24"/>
                <w:highlight w:val="none"/>
              </w:rPr>
              <w:t>总院每月</w:t>
            </w:r>
            <w:r>
              <w:rPr>
                <w:rFonts w:hint="eastAsia" w:ascii="宋体" w:hAnsi="宋体"/>
                <w:color w:val="auto"/>
                <w:sz w:val="24"/>
                <w:szCs w:val="24"/>
                <w:highlight w:val="none"/>
                <w:lang w:val="en-US" w:eastAsia="zh-CN"/>
              </w:rPr>
              <w:t>4</w:t>
            </w:r>
            <w:r>
              <w:rPr>
                <w:rFonts w:hint="eastAsia" w:ascii="宋体" w:hAnsi="宋体"/>
                <w:color w:val="auto"/>
                <w:sz w:val="24"/>
                <w:szCs w:val="24"/>
                <w:highlight w:val="none"/>
              </w:rPr>
              <w:t>次，每周</w:t>
            </w:r>
            <w:r>
              <w:rPr>
                <w:rFonts w:hint="eastAsia" w:ascii="宋体" w:hAnsi="宋体"/>
                <w:color w:val="auto"/>
                <w:sz w:val="24"/>
                <w:szCs w:val="24"/>
                <w:highlight w:val="none"/>
                <w:lang w:val="en-US" w:eastAsia="zh-CN"/>
              </w:rPr>
              <w:t>1</w:t>
            </w:r>
            <w:r>
              <w:rPr>
                <w:rFonts w:hint="eastAsia" w:ascii="宋体" w:hAnsi="宋体"/>
                <w:color w:val="auto"/>
                <w:sz w:val="24"/>
                <w:szCs w:val="24"/>
                <w:highlight w:val="none"/>
              </w:rPr>
              <w:t>次，</w:t>
            </w:r>
            <w:r>
              <w:rPr>
                <w:rFonts w:hint="eastAsia" w:ascii="宋体" w:hAnsi="宋体"/>
                <w:color w:val="auto"/>
                <w:sz w:val="24"/>
                <w:szCs w:val="24"/>
                <w:highlight w:val="none"/>
                <w:lang w:val="en-US" w:eastAsia="zh-CN"/>
              </w:rPr>
              <w:t>斗西和集美</w:t>
            </w:r>
            <w:r>
              <w:rPr>
                <w:rFonts w:hint="eastAsia" w:ascii="宋体" w:hAnsi="宋体"/>
                <w:color w:val="auto"/>
                <w:sz w:val="24"/>
                <w:szCs w:val="24"/>
                <w:highlight w:val="none"/>
                <w:lang w:eastAsia="zh-CN"/>
              </w:rPr>
              <w:t>院区</w:t>
            </w:r>
            <w:r>
              <w:rPr>
                <w:rFonts w:hint="eastAsia" w:ascii="宋体" w:hAnsi="宋体"/>
                <w:color w:val="auto"/>
                <w:sz w:val="24"/>
                <w:szCs w:val="24"/>
                <w:highlight w:val="none"/>
              </w:rPr>
              <w:t>每月4次每周1次。此外特殊科室紧急情况需要立即处理。</w:t>
            </w:r>
          </w:p>
          <w:p w14:paraId="2457C980">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color w:val="auto"/>
                <w:sz w:val="24"/>
                <w:szCs w:val="24"/>
                <w:highlight w:val="none"/>
              </w:rPr>
            </w:pPr>
            <w:r>
              <w:rPr>
                <w:rFonts w:hint="eastAsia" w:ascii="宋体" w:hAnsi="宋体"/>
                <w:color w:val="auto"/>
                <w:sz w:val="24"/>
                <w:szCs w:val="24"/>
                <w:highlight w:val="none"/>
              </w:rPr>
              <w:t>（2）</w:t>
            </w:r>
            <w:r>
              <w:rPr>
                <w:rFonts w:hint="eastAsia" w:ascii="宋体" w:hAnsi="宋体"/>
                <w:color w:val="auto"/>
                <w:sz w:val="24"/>
                <w:szCs w:val="24"/>
                <w:highlight w:val="none"/>
                <w:lang w:val="en-US" w:eastAsia="zh-CN"/>
              </w:rPr>
              <w:t>集美院区</w:t>
            </w:r>
            <w:r>
              <w:rPr>
                <w:rFonts w:hint="eastAsia" w:ascii="宋体" w:hAnsi="宋体"/>
                <w:color w:val="auto"/>
                <w:sz w:val="24"/>
                <w:szCs w:val="24"/>
                <w:highlight w:val="none"/>
              </w:rPr>
              <w:t>职工</w:t>
            </w:r>
            <w:r>
              <w:rPr>
                <w:rFonts w:hint="eastAsia" w:ascii="宋体" w:hAnsi="宋体"/>
                <w:color w:val="auto"/>
                <w:sz w:val="24"/>
                <w:szCs w:val="24"/>
                <w:highlight w:val="none"/>
                <w:lang w:val="en-US" w:eastAsia="zh-CN"/>
              </w:rPr>
              <w:t>用餐区</w:t>
            </w:r>
            <w:r>
              <w:rPr>
                <w:rFonts w:hint="eastAsia" w:ascii="宋体" w:hAnsi="宋体"/>
                <w:color w:val="auto"/>
                <w:sz w:val="24"/>
                <w:szCs w:val="24"/>
                <w:highlight w:val="none"/>
              </w:rPr>
              <w:t>每月需要做1次烟雾消杀。</w:t>
            </w:r>
          </w:p>
          <w:p w14:paraId="49E4FB37">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color w:val="auto"/>
                <w:sz w:val="24"/>
                <w:szCs w:val="24"/>
                <w:highlight w:val="none"/>
              </w:rPr>
            </w:pPr>
            <w:r>
              <w:rPr>
                <w:rFonts w:hint="eastAsia" w:ascii="宋体" w:hAnsi="宋体"/>
                <w:color w:val="auto"/>
                <w:sz w:val="24"/>
                <w:szCs w:val="24"/>
                <w:highlight w:val="none"/>
              </w:rPr>
              <w:t>（3）每年</w:t>
            </w:r>
            <w:r>
              <w:rPr>
                <w:rFonts w:hint="eastAsia" w:ascii="宋体" w:hAnsi="宋体"/>
                <w:color w:val="auto"/>
                <w:sz w:val="24"/>
                <w:szCs w:val="24"/>
                <w:highlight w:val="none"/>
                <w:lang w:eastAsia="zh-CN"/>
              </w:rPr>
              <w:t>三院区（蔡塘总院、斗西院区、集美院区）</w:t>
            </w:r>
            <w:r>
              <w:rPr>
                <w:rFonts w:hint="eastAsia" w:ascii="宋体" w:hAnsi="宋体"/>
                <w:color w:val="auto"/>
                <w:sz w:val="24"/>
                <w:szCs w:val="24"/>
                <w:highlight w:val="none"/>
              </w:rPr>
              <w:t>登革热防治消杀1次。</w:t>
            </w:r>
          </w:p>
          <w:p w14:paraId="71F79376">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（4）外环境管道、隐蔽水沟等环境每两月进行一次热烟雾全面消杀。</w:t>
            </w:r>
          </w:p>
          <w:p w14:paraId="38581B3E">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（5）外环境积水区域5月至10月间每月投施一次灭蚊蝇幼虫制剂。</w:t>
            </w:r>
          </w:p>
          <w:p w14:paraId="22661E2E">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（6）</w:t>
            </w:r>
            <w:r>
              <w:rPr>
                <w:rFonts w:hint="eastAsia" w:ascii="宋体" w:hAnsi="宋体"/>
                <w:color w:val="auto"/>
                <w:sz w:val="24"/>
                <w:szCs w:val="24"/>
                <w:highlight w:val="none"/>
                <w:lang w:val="en-US" w:eastAsia="zh-CN"/>
              </w:rPr>
              <w:t>设备机房、医废暂存点</w:t>
            </w:r>
            <w:r>
              <w:rPr>
                <w:rFonts w:hint="eastAsia" w:ascii="宋体" w:hAnsi="宋体"/>
                <w:color w:val="auto"/>
                <w:sz w:val="24"/>
                <w:szCs w:val="24"/>
                <w:highlight w:val="none"/>
              </w:rPr>
              <w:t>等区域处理蟑螂必须调整灭蟑技术方案，交叉使用滞留喷洒以及饵剂处理。</w:t>
            </w:r>
          </w:p>
          <w:p w14:paraId="24CA86A5">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（7）根据外环境的结构情况，安装足量的鼠饵站，室内灭鼠重点以物理处理为主，管道等区域需要适当饱和投饵。</w:t>
            </w:r>
          </w:p>
          <w:p w14:paraId="52C21210">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（8）所有使用药品必须提供药品三证等相关证件。</w:t>
            </w:r>
          </w:p>
          <w:p w14:paraId="58C4B929">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（9）必要时，根据院方的要求实施。</w:t>
            </w:r>
          </w:p>
        </w:tc>
        <w:tc>
          <w:tcPr>
            <w:tcW w:w="1294" w:type="dxa"/>
            <w:tcBorders>
              <w:top w:val="single" w:color="auto" w:sz="4" w:space="0"/>
              <w:left w:val="single" w:color="auto" w:sz="4" w:space="0"/>
              <w:bottom w:val="single" w:color="auto" w:sz="4" w:space="0"/>
              <w:right w:val="single" w:color="auto" w:sz="4" w:space="0"/>
            </w:tcBorders>
            <w:noWrap w:val="0"/>
            <w:vAlign w:val="center"/>
          </w:tcPr>
          <w:p w14:paraId="7BDDF047">
            <w:pPr>
              <w:rPr>
                <w:rFonts w:ascii="宋体" w:hAnsi="宋体"/>
                <w:color w:val="auto"/>
                <w:sz w:val="24"/>
                <w:szCs w:val="24"/>
                <w:highlight w:val="none"/>
              </w:rPr>
            </w:pPr>
            <w:r>
              <w:rPr>
                <w:rFonts w:hint="eastAsia" w:ascii="宋体" w:hAnsi="宋体"/>
                <w:color w:val="auto"/>
                <w:sz w:val="24"/>
                <w:szCs w:val="24"/>
                <w:highlight w:val="none"/>
              </w:rPr>
              <w:t>达到厦门市爱国卫生运动委员会“四害”控制考核标准。</w:t>
            </w:r>
          </w:p>
        </w:tc>
      </w:tr>
    </w:tbl>
    <w:p w14:paraId="15BCD914">
      <w:pPr>
        <w:pStyle w:val="5"/>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Segoe UI" w:hAnsi="Segoe UI" w:eastAsia="Segoe UI" w:cs="Segoe UI"/>
          <w:b/>
          <w:bCs/>
          <w:i w:val="0"/>
          <w:iCs w:val="0"/>
          <w:caps w:val="0"/>
          <w:color w:val="000000" w:themeColor="text1"/>
          <w:spacing w:val="0"/>
          <w:sz w:val="24"/>
          <w:szCs w:val="24"/>
          <w:shd w:val="clear" w:fill="FFFFFF"/>
          <w14:textFill>
            <w14:solidFill>
              <w14:schemeClr w14:val="tx1"/>
            </w14:solidFill>
          </w14:textFill>
        </w:rPr>
      </w:pPr>
      <w:r>
        <w:rPr>
          <w:rFonts w:ascii="Segoe UI" w:hAnsi="Segoe UI" w:eastAsia="Segoe UI" w:cs="Segoe UI"/>
          <w:b/>
          <w:bCs/>
          <w:i w:val="0"/>
          <w:iCs w:val="0"/>
          <w:caps w:val="0"/>
          <w:color w:val="000000" w:themeColor="text1"/>
          <w:spacing w:val="0"/>
          <w:sz w:val="24"/>
          <w:szCs w:val="24"/>
          <w:shd w:val="clear" w:fill="FFFFFF"/>
          <w14:textFill>
            <w14:solidFill>
              <w14:schemeClr w14:val="tx1"/>
            </w14:solidFill>
          </w14:textFill>
        </w:rPr>
        <w:t>备注：蔡塘总院二期预计将于2026年</w:t>
      </w:r>
      <w:r>
        <w:rPr>
          <w:rFonts w:hint="eastAsia" w:ascii="Segoe UI" w:hAnsi="Segoe UI" w:cs="Segoe UI"/>
          <w:b/>
          <w:bCs/>
          <w:i w:val="0"/>
          <w:iCs w:val="0"/>
          <w:caps w:val="0"/>
          <w:color w:val="000000" w:themeColor="text1"/>
          <w:spacing w:val="0"/>
          <w:sz w:val="24"/>
          <w:szCs w:val="24"/>
          <w:shd w:val="clear" w:fill="FFFFFF"/>
          <w:lang w:val="en-US" w:eastAsia="zh-CN"/>
          <w14:textFill>
            <w14:solidFill>
              <w14:schemeClr w14:val="tx1"/>
            </w14:solidFill>
          </w14:textFill>
        </w:rPr>
        <w:t>6</w:t>
      </w:r>
      <w:r>
        <w:rPr>
          <w:rFonts w:ascii="Segoe UI" w:hAnsi="Segoe UI" w:eastAsia="Segoe UI" w:cs="Segoe UI"/>
          <w:b/>
          <w:bCs/>
          <w:i w:val="0"/>
          <w:iCs w:val="0"/>
          <w:caps w:val="0"/>
          <w:color w:val="000000" w:themeColor="text1"/>
          <w:spacing w:val="0"/>
          <w:sz w:val="24"/>
          <w:szCs w:val="24"/>
          <w:shd w:val="clear" w:fill="FFFFFF"/>
          <w14:textFill>
            <w14:solidFill>
              <w14:schemeClr w14:val="tx1"/>
            </w14:solidFill>
          </w14:textFill>
        </w:rPr>
        <w:t>月投入使用，其建筑面积达 3.6 万平方米。具体投入时间以实际情况为准。待蔡塘总院二期投入使用后，斗西院区将整体搬迁至蔡塘总院二期。搬迁完成后，斗西院区将停止开展虫害消杀工作，而蔡塘总院二期则需相应启动虫害消杀的各项工作。此外，虫害消杀</w:t>
      </w:r>
      <w:r>
        <w:rPr>
          <w:rFonts w:hint="eastAsia" w:ascii="Segoe UI" w:hAnsi="Segoe UI" w:eastAsia="宋体" w:cs="Segoe UI"/>
          <w:b/>
          <w:bCs/>
          <w:i w:val="0"/>
          <w:iCs w:val="0"/>
          <w:caps w:val="0"/>
          <w:color w:val="000000" w:themeColor="text1"/>
          <w:spacing w:val="0"/>
          <w:sz w:val="24"/>
          <w:szCs w:val="24"/>
          <w:shd w:val="clear" w:fill="FFFFFF"/>
          <w:lang w:val="en-US" w:eastAsia="zh-CN"/>
          <w14:textFill>
            <w14:solidFill>
              <w14:schemeClr w14:val="tx1"/>
            </w14:solidFill>
          </w14:textFill>
        </w:rPr>
        <w:t>报价</w:t>
      </w:r>
      <w:r>
        <w:rPr>
          <w:rFonts w:ascii="Segoe UI" w:hAnsi="Segoe UI" w:eastAsia="Segoe UI" w:cs="Segoe UI"/>
          <w:b/>
          <w:bCs/>
          <w:i w:val="0"/>
          <w:iCs w:val="0"/>
          <w:caps w:val="0"/>
          <w:color w:val="000000" w:themeColor="text1"/>
          <w:spacing w:val="0"/>
          <w:sz w:val="24"/>
          <w:szCs w:val="24"/>
          <w:shd w:val="clear" w:fill="FFFFFF"/>
          <w14:textFill>
            <w14:solidFill>
              <w14:schemeClr w14:val="tx1"/>
            </w14:solidFill>
          </w14:textFill>
        </w:rPr>
        <w:t>费用既定，后续不再增加或者减少。</w:t>
      </w:r>
    </w:p>
    <w:p w14:paraId="2279C48E">
      <w:pPr>
        <w:pStyle w:val="5"/>
        <w:ind w:firstLine="482" w:firstLineChars="200"/>
        <w:rPr>
          <w:rFonts w:ascii="宋体" w:hAnsi="宋体"/>
          <w:b/>
          <w:bCs/>
          <w:color w:val="auto"/>
          <w:sz w:val="24"/>
          <w:highlight w:val="none"/>
        </w:rPr>
      </w:pPr>
      <w:r>
        <w:rPr>
          <w:rFonts w:hint="eastAsia" w:ascii="宋体" w:hAnsi="宋体"/>
          <w:b/>
          <w:bCs/>
          <w:color w:val="auto"/>
          <w:sz w:val="24"/>
          <w:highlight w:val="none"/>
        </w:rPr>
        <w:t>2、服务要求：</w:t>
      </w:r>
    </w:p>
    <w:p w14:paraId="1AB4B736">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highlight w:val="none"/>
        </w:rPr>
      </w:pPr>
      <w:r>
        <w:rPr>
          <w:rFonts w:hint="eastAsia" w:ascii="宋体" w:hAnsi="宋体" w:cs="宋体"/>
          <w:color w:val="auto"/>
          <w:highlight w:val="none"/>
        </w:rPr>
        <w:t>2.1、必须确保按照采购人要求，使用符合国家安全标准药物对室内、外定期进行四害防治，并且提供药品的相关证件。</w:t>
      </w:r>
    </w:p>
    <w:p w14:paraId="7197DC22">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highlight w:val="none"/>
        </w:rPr>
      </w:pPr>
      <w:r>
        <w:rPr>
          <w:rFonts w:hint="eastAsia" w:ascii="宋体" w:hAnsi="宋体" w:cs="宋体"/>
          <w:color w:val="auto"/>
          <w:highlight w:val="none"/>
        </w:rPr>
        <w:t>2.2、必须确保消杀效果达到厦门市爱国卫生运动委员会“四害”控制考核标准。</w:t>
      </w:r>
    </w:p>
    <w:p w14:paraId="7DA233AE">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highlight w:val="none"/>
        </w:rPr>
      </w:pPr>
      <w:r>
        <w:rPr>
          <w:rFonts w:hint="eastAsia" w:ascii="宋体" w:hAnsi="宋体" w:cs="宋体"/>
          <w:color w:val="auto"/>
          <w:highlight w:val="none"/>
        </w:rPr>
        <w:t>2.3、服务期间严格遵守采购人规定及制度。</w:t>
      </w:r>
    </w:p>
    <w:p w14:paraId="3811D087">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highlight w:val="none"/>
        </w:rPr>
      </w:pPr>
      <w:r>
        <w:rPr>
          <w:rFonts w:hint="eastAsia" w:ascii="宋体" w:hAnsi="宋体" w:cs="宋体"/>
          <w:color w:val="auto"/>
          <w:highlight w:val="none"/>
        </w:rPr>
        <w:t>2.4、在定期开展灭四害的基础下，如采购人仍受鼠害侵扰，成交供应商应在24小时内为采购人提供服务，费用由成交供应商承担。</w:t>
      </w:r>
    </w:p>
    <w:p w14:paraId="1B602BE1">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highlight w:val="none"/>
        </w:rPr>
      </w:pPr>
      <w:r>
        <w:rPr>
          <w:rFonts w:hint="eastAsia" w:ascii="宋体" w:hAnsi="宋体" w:cs="宋体"/>
          <w:color w:val="auto"/>
          <w:highlight w:val="none"/>
        </w:rPr>
        <w:t>2.5、成交供应商安排的消杀人员应固定，不可经常更换，如更换应提前和采购人说明原因。</w:t>
      </w:r>
    </w:p>
    <w:p w14:paraId="3452F524">
      <w:pPr>
        <w:pStyle w:val="6"/>
        <w:widowControl/>
        <w:spacing w:line="480" w:lineRule="auto"/>
        <w:ind w:firstLine="482" w:firstLineChars="200"/>
        <w:rPr>
          <w:rFonts w:ascii="宋体" w:hAnsi="宋体" w:cs="宋体"/>
          <w:b/>
          <w:bCs/>
          <w:color w:val="auto"/>
          <w:highlight w:val="none"/>
        </w:rPr>
      </w:pPr>
      <w:r>
        <w:rPr>
          <w:rFonts w:hint="eastAsia" w:ascii="宋体" w:hAnsi="宋体" w:cs="宋体"/>
          <w:b/>
          <w:bCs/>
          <w:color w:val="auto"/>
          <w:highlight w:val="none"/>
        </w:rPr>
        <w:t>3、消杀服务标准</w:t>
      </w:r>
    </w:p>
    <w:p w14:paraId="27392EF6">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3.1、消杀频率</w:t>
      </w:r>
      <w:r>
        <w:rPr>
          <w:rFonts w:hint="eastAsia" w:ascii="宋体" w:hAnsi="宋体" w:cs="宋体"/>
          <w:color w:val="auto"/>
          <w:highlight w:val="none"/>
          <w:lang w:eastAsia="zh-CN"/>
        </w:rPr>
        <w:t>：</w:t>
      </w:r>
      <w:r>
        <w:rPr>
          <w:rFonts w:hint="eastAsia" w:ascii="宋体" w:hAnsi="宋体" w:cs="宋体"/>
          <w:color w:val="auto"/>
          <w:highlight w:val="none"/>
          <w:lang w:val="en-US" w:eastAsia="zh-CN"/>
        </w:rPr>
        <w:t>三个院区</w:t>
      </w:r>
      <w:r>
        <w:rPr>
          <w:rFonts w:hint="eastAsia" w:ascii="宋体" w:hAnsi="宋体" w:cs="宋体"/>
          <w:color w:val="auto"/>
          <w:highlight w:val="none"/>
        </w:rPr>
        <w:t>每月</w:t>
      </w:r>
      <w:r>
        <w:rPr>
          <w:rFonts w:hint="eastAsia" w:ascii="宋体" w:hAnsi="宋体" w:cs="宋体"/>
          <w:color w:val="auto"/>
          <w:highlight w:val="none"/>
          <w:lang w:val="en-US" w:eastAsia="zh-CN"/>
        </w:rPr>
        <w:t>分别消杀4</w:t>
      </w:r>
      <w:r>
        <w:rPr>
          <w:rFonts w:hint="eastAsia" w:ascii="宋体" w:hAnsi="宋体" w:cs="宋体"/>
          <w:color w:val="auto"/>
          <w:highlight w:val="none"/>
        </w:rPr>
        <w:t>次，每周</w:t>
      </w:r>
      <w:r>
        <w:rPr>
          <w:rFonts w:hint="eastAsia" w:ascii="宋体" w:hAnsi="宋体" w:cs="宋体"/>
          <w:color w:val="auto"/>
          <w:highlight w:val="none"/>
          <w:lang w:val="en-US" w:eastAsia="zh-CN"/>
        </w:rPr>
        <w:t>1</w:t>
      </w:r>
      <w:r>
        <w:rPr>
          <w:rFonts w:hint="eastAsia" w:ascii="宋体" w:hAnsi="宋体" w:cs="宋体"/>
          <w:color w:val="auto"/>
          <w:highlight w:val="none"/>
        </w:rPr>
        <w:t>次</w:t>
      </w:r>
      <w:r>
        <w:rPr>
          <w:rFonts w:hint="eastAsia" w:ascii="宋体" w:hAnsi="宋体" w:cs="宋体"/>
          <w:color w:val="auto"/>
          <w:highlight w:val="none"/>
          <w:lang w:eastAsia="zh-CN"/>
        </w:rPr>
        <w:t>。</w:t>
      </w:r>
      <w:r>
        <w:rPr>
          <w:rFonts w:hint="eastAsia" w:ascii="宋体" w:hAnsi="宋体" w:cs="宋体"/>
          <w:color w:val="auto"/>
          <w:highlight w:val="none"/>
        </w:rPr>
        <w:t>此外特殊科室紧急情况需要立即处理。</w:t>
      </w:r>
    </w:p>
    <w:p w14:paraId="2A5AD500">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3.2、成交供应商承包防制区域鼠类、蟑螂、蚊虫、蝇类密度达到厦门市爱国卫生运动委员会“四害”控制考核标准。提供的“四害”消杀服务，毒饵投放覆盖率、到位率、饱和率及灭效均≥80%，效果投诉处理率100%。</w:t>
      </w:r>
    </w:p>
    <w:p w14:paraId="1BB3FBF8">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3.3、实施灭杀作业前，必须先到现场调查摸清采购人卫生四害的情况，应对卫生害虫种类、栖息部位、密度状况及孳生环境等情况有全面的了解，因地制宜制定合理的消杀方案，且须作好投药前温馨提示，不能对医院正常工作造成影响。</w:t>
      </w:r>
    </w:p>
    <w:p w14:paraId="18312E7B">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3.4、根据控制消杀方案备好药品器械和个人防护用品，保证作业安全、规范，无责任事故发生。应确保所使用的药品符合国家和市有关部门的规定，确保药物来源和质量正当可靠。</w:t>
      </w:r>
    </w:p>
    <w:p w14:paraId="33DFAA8D">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3.5、实施防治作业，应遵守安全操作规范，合理用药，施药到位，保证防治效果，并防止药品污染环境。确保施工安全，若因施工原因造成的安全事故及存在安全隐患造成自身和他人人身财产损害，其责任均由成交供应商承担。</w:t>
      </w:r>
    </w:p>
    <w:p w14:paraId="38481D9F">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3.6、从事“消杀”服务的从业人员必须持《上岗证》上岗，做到统一着装、整齐且符合防护要求，杜绝着装不齐，不讲文明礼貌的行为。</w:t>
      </w:r>
    </w:p>
    <w:p w14:paraId="41BDFFCC">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3.7、根据卫生虫害有关规定，定期进行虫害密度监测或防制效果监测，资料及时统计分析上报，并做好归档工作。</w:t>
      </w:r>
    </w:p>
    <w:p w14:paraId="2FA8C080">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3.8、报价人拟投入人员须提供在报价人单位缴纳的投标截止前6个月（不含投标当月）的社保证明材料或社保部门出具的无需缴纳社保的等证明材料。</w:t>
      </w:r>
    </w:p>
    <w:p w14:paraId="51756BF9">
      <w:pPr>
        <w:pStyle w:val="6"/>
        <w:widowControl/>
        <w:spacing w:line="480" w:lineRule="auto"/>
        <w:ind w:firstLine="482" w:firstLineChars="200"/>
        <w:rPr>
          <w:rFonts w:ascii="宋体" w:hAnsi="宋体" w:cs="宋体"/>
          <w:b/>
          <w:bCs/>
          <w:color w:val="auto"/>
          <w:highlight w:val="none"/>
        </w:rPr>
      </w:pPr>
      <w:r>
        <w:rPr>
          <w:rFonts w:hint="eastAsia" w:ascii="宋体" w:hAnsi="宋体" w:cs="宋体"/>
          <w:b/>
          <w:bCs/>
          <w:color w:val="auto"/>
          <w:highlight w:val="none"/>
        </w:rPr>
        <w:t>4、成交供应商的权利及义务</w:t>
      </w:r>
    </w:p>
    <w:p w14:paraId="10FA726B">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4.1、成交供应商接到采购人投诉的通知后，应在24小时内到达采购人现场进行消杀。（若没在规定时间内到达扣当月服务费的10%）</w:t>
      </w:r>
    </w:p>
    <w:p w14:paraId="2CFFFE77">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4.2、成交供应商应节约用水。</w:t>
      </w:r>
    </w:p>
    <w:p w14:paraId="36A1F772">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4.3、成交供应商员工需穿戴工作服，佩戴工作牌，接受采购人的监督检查，成交供应商应对所属员工实施有效管理，爱护医院内建筑、公共设施设备以及财务，防止财产损失和二次污染，如造成损坏照价赔偿，严重者追究法律责任，如遇正常工作或非成交供应商原因所致的供水系统损坏应及时通知采购人进行修理完善。</w:t>
      </w:r>
    </w:p>
    <w:p w14:paraId="335E8E59">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4.4、成交供应商在提供药物投放服务时，必须按规定投放，确保消杀药物的投放量、到位率、覆盖率符合要求并作好相关文字记录，保留备查。服务期内药物使用必须符合国家规定的病媒生物防治用药，安全规范用药，不得使用假药、国家明令禁止使用的药物，如发生人、畜中毒，经权威部门鉴定属于成交供应商使用禁用药物，成交供应商需要承担全部责任。</w:t>
      </w:r>
    </w:p>
    <w:p w14:paraId="69028816">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4.5、成交供应商保证其派出的消杀人员遵守采购人的规章制度，并保证每次消杀前需通知采购人做好准备以及接受采购人的合理建议。</w:t>
      </w:r>
    </w:p>
    <w:p w14:paraId="1A7E7094">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4.6、成交供应商保证根据现场情况，选择消杀器材、药物剂型、浓度、施药方法、保护人员、食品、电器设备和其他物品的安全；实施消杀时先室内后室外，先地面后墙壁、先重点后一般的综合措施控制蚊、蝇、鼠、蟑螂的密度。</w:t>
      </w:r>
    </w:p>
    <w:p w14:paraId="437B1903">
      <w:pPr>
        <w:pStyle w:val="6"/>
        <w:widowControl/>
        <w:spacing w:line="480" w:lineRule="auto"/>
        <w:ind w:firstLine="482" w:firstLineChars="200"/>
        <w:rPr>
          <w:rFonts w:ascii="宋体" w:hAnsi="宋体" w:cs="宋体"/>
          <w:color w:val="auto"/>
          <w:highlight w:val="none"/>
        </w:rPr>
      </w:pPr>
      <w:r>
        <w:rPr>
          <w:rStyle w:val="9"/>
          <w:rFonts w:hint="eastAsia" w:ascii="宋体" w:hAnsi="宋体" w:cs="宋体"/>
          <w:color w:val="auto"/>
          <w:highlight w:val="none"/>
        </w:rPr>
        <w:t>5. 监管机制</w:t>
      </w:r>
    </w:p>
    <w:p w14:paraId="2FA422F1">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5.1 成交供应商所用药品必须是由其自行按规定购买药品，并提供药品证件。</w:t>
      </w:r>
    </w:p>
    <w:p w14:paraId="0CCD8729">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5.2 成交供应商应科学合理地组织和配备消杀人员、消杀设备，保质保量完成消杀任务，随时接受有关部门的检查、指导、监督和考核。</w:t>
      </w:r>
    </w:p>
    <w:p w14:paraId="49CC1A46">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5.3 成交供应商必须严格按照消杀程序进行消杀，施药之前必须提前通知；通知上必须注明施药时间、地点及如误食后的急救措施。</w:t>
      </w:r>
    </w:p>
    <w:p w14:paraId="145F0DAA">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5.4 施药后，成交供应商应派人进行跟踪检查，发现问题及时整改。</w:t>
      </w:r>
    </w:p>
    <w:p w14:paraId="18078522">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5.5 成交供应商要建立消杀工作档案，每次消杀任务结束一周内，向采购单位提交消杀科室确认的消杀服务报告；每月提供月消杀工作报告书。</w:t>
      </w:r>
    </w:p>
    <w:p w14:paraId="370D93C1">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5.6 在服务期内，成交供应商有义务对四害孳生情况进行常态监管，按照厦门市爱国卫生运动委员会“四害”控制考核标准开展四害密度检测，发现问题及时处理。</w:t>
      </w:r>
    </w:p>
    <w:p w14:paraId="3ED7AAC0">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5.7 预防各类事故发生，如发生人员中毒等事故，成交供应商应自行处理解决，并承担相应责任。</w:t>
      </w:r>
    </w:p>
    <w:p w14:paraId="08294934">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5.8、成交供应商应做好消杀人员工作的安全防护，并严守有关安全作业规定。如因成交供应商疏忽发生安全事故，由成交供应商负责，成交供应商有责任义务将事故报告以书面形式提交采购人及有关部门。因成交供应商原因造成采购人或第三方人身伤害、财产损失或严重损害采购人声誉的，成交供应商应承担相应责任，并且采购人有权单方解除合同。成交供应商确保使用的器械、药品等符合消杀要求，对消杀过程中存在危险的情况及使用药品有安全标识或通告。</w:t>
      </w:r>
    </w:p>
    <w:p w14:paraId="74262EB3">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5.9 如成交供应商消杀组织不力，无证上岗、操作不规范、结果不达标，可被要求限期整改。若一年内被通报三次以上（包含三次）、对消杀完成情况弄虚作假，可根据实际情况终止合同，并承担相应责任。</w:t>
      </w:r>
    </w:p>
    <w:p w14:paraId="2FF6BA19">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5.10成交供应商消杀工作应达到厦门市爱国卫生运动委员会“四害”控制考核标准要求，并确保通过国家卫生城市暗访和省市各级明察暗访检查，未达到标准或影响了创卫工作的，要追究成交供应商违约责任。</w:t>
      </w:r>
    </w:p>
    <w:p w14:paraId="181031A1">
      <w:pPr>
        <w:pStyle w:val="6"/>
        <w:widowControl/>
        <w:spacing w:line="480" w:lineRule="auto"/>
        <w:ind w:firstLine="482" w:firstLineChars="200"/>
        <w:rPr>
          <w:rStyle w:val="9"/>
          <w:rFonts w:hint="eastAsia" w:ascii="宋体" w:hAnsi="宋体" w:cs="宋体"/>
          <w:color w:val="auto"/>
          <w:highlight w:val="none"/>
        </w:rPr>
      </w:pPr>
      <w:r>
        <w:rPr>
          <w:rStyle w:val="9"/>
          <w:rFonts w:hint="eastAsia" w:ascii="宋体" w:hAnsi="宋体" w:cs="宋体"/>
          <w:color w:val="auto"/>
          <w:highlight w:val="none"/>
        </w:rPr>
        <w:t>6.</w:t>
      </w:r>
      <w:r>
        <w:rPr>
          <w:rStyle w:val="9"/>
          <w:rFonts w:hint="eastAsia" w:ascii="宋体" w:hAnsi="宋体" w:cs="宋体"/>
          <w:color w:val="auto"/>
          <w:highlight w:val="none"/>
          <w:lang w:val="en-US" w:eastAsia="zh-CN"/>
        </w:rPr>
        <w:t>考核</w:t>
      </w:r>
      <w:r>
        <w:rPr>
          <w:rStyle w:val="9"/>
          <w:rFonts w:hint="eastAsia" w:ascii="宋体" w:hAnsi="宋体" w:cs="宋体"/>
          <w:color w:val="auto"/>
          <w:highlight w:val="none"/>
        </w:rPr>
        <w:t>管理办法：</w:t>
      </w:r>
    </w:p>
    <w:p w14:paraId="4CF05C1F">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lang w:val="en-US" w:eastAsia="zh-CN"/>
        </w:rPr>
      </w:pPr>
      <w:r>
        <w:rPr>
          <w:rFonts w:hint="eastAsia" w:ascii="宋体" w:hAnsi="宋体" w:cs="宋体"/>
          <w:color w:val="auto"/>
          <w:highlight w:val="none"/>
        </w:rPr>
        <w:t>6.1</w:t>
      </w:r>
      <w:r>
        <w:rPr>
          <w:rFonts w:hint="eastAsia" w:ascii="宋体" w:hAnsi="宋体" w:cs="宋体"/>
          <w:color w:val="auto"/>
          <w:highlight w:val="none"/>
          <w:lang w:val="en-US" w:eastAsia="zh-CN"/>
        </w:rPr>
        <w:t>按照《病媒生物防治月度考核评分表》</w:t>
      </w:r>
      <w:r>
        <w:rPr>
          <w:rFonts w:hint="eastAsia" w:ascii="宋体" w:hAnsi="宋体" w:cs="宋体"/>
          <w:color w:val="auto"/>
          <w:highlight w:val="none"/>
        </w:rPr>
        <w:t>每月月底进行考核，低于</w:t>
      </w:r>
      <w:r>
        <w:rPr>
          <w:rFonts w:hint="eastAsia" w:ascii="宋体" w:hAnsi="宋体" w:cs="宋体"/>
          <w:color w:val="auto"/>
          <w:highlight w:val="none"/>
          <w:lang w:val="en-US" w:eastAsia="zh-CN"/>
        </w:rPr>
        <w:t>70</w:t>
      </w:r>
      <w:r>
        <w:rPr>
          <w:rFonts w:hint="eastAsia" w:ascii="宋体" w:hAnsi="宋体" w:cs="宋体"/>
          <w:color w:val="auto"/>
          <w:highlight w:val="none"/>
        </w:rPr>
        <w:t>分三次解除</w:t>
      </w:r>
      <w:r>
        <w:rPr>
          <w:rFonts w:hint="eastAsia" w:ascii="宋体" w:hAnsi="宋体" w:cs="宋体"/>
          <w:color w:val="auto"/>
          <w:highlight w:val="none"/>
          <w:lang w:val="en-US" w:eastAsia="zh-CN"/>
        </w:rPr>
        <w:t>合同。</w:t>
      </w:r>
    </w:p>
    <w:tbl>
      <w:tblPr>
        <w:tblStyle w:val="7"/>
        <w:tblW w:w="85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8"/>
        <w:gridCol w:w="1346"/>
        <w:gridCol w:w="1636"/>
        <w:gridCol w:w="2480"/>
        <w:gridCol w:w="702"/>
        <w:gridCol w:w="1079"/>
        <w:gridCol w:w="639"/>
      </w:tblGrid>
      <w:tr w14:paraId="71C8F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8520" w:type="dxa"/>
            <w:gridSpan w:val="7"/>
            <w:tcBorders>
              <w:top w:val="nil"/>
              <w:left w:val="nil"/>
              <w:bottom w:val="nil"/>
              <w:right w:val="nil"/>
            </w:tcBorders>
            <w:shd w:val="clear" w:color="auto" w:fill="auto"/>
            <w:noWrap/>
            <w:vAlign w:val="center"/>
          </w:tcPr>
          <w:p w14:paraId="62426F9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8"/>
                <w:szCs w:val="28"/>
                <w:u w:val="none"/>
                <w:lang w:val="en-US" w:eastAsia="zh-CN" w:bidi="ar"/>
              </w:rPr>
              <w:t>病媒生物防治月度考核评分表</w:t>
            </w:r>
          </w:p>
        </w:tc>
      </w:tr>
      <w:tr w14:paraId="45934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520" w:type="dxa"/>
            <w:gridSpan w:val="7"/>
            <w:tcBorders>
              <w:top w:val="nil"/>
              <w:left w:val="nil"/>
              <w:bottom w:val="nil"/>
              <w:right w:val="nil"/>
            </w:tcBorders>
            <w:shd w:val="clear" w:color="auto" w:fill="auto"/>
            <w:vAlign w:val="center"/>
          </w:tcPr>
          <w:p w14:paraId="2652C2F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宋体" w:hAnsi="宋体" w:eastAsia="宋体" w:cs="宋体"/>
                <w:b/>
                <w:bCs/>
                <w:i w:val="0"/>
                <w:iCs w:val="0"/>
                <w:color w:val="000000"/>
                <w:sz w:val="21"/>
                <w:szCs w:val="21"/>
                <w:u w:val="none"/>
              </w:rPr>
            </w:pPr>
            <w:r>
              <w:rPr>
                <w:rStyle w:val="10"/>
                <w:sz w:val="21"/>
                <w:szCs w:val="21"/>
                <w:lang w:val="en-US" w:eastAsia="zh-CN" w:bidi="ar"/>
              </w:rPr>
              <w:t>考核月份：</w:t>
            </w:r>
            <w:r>
              <w:rPr>
                <w:rStyle w:val="11"/>
                <w:sz w:val="21"/>
                <w:szCs w:val="21"/>
                <w:lang w:val="en-US" w:eastAsia="zh-CN" w:bidi="ar"/>
              </w:rPr>
              <w:t xml:space="preserve">    </w:t>
            </w:r>
            <w:r>
              <w:rPr>
                <w:rStyle w:val="10"/>
                <w:sz w:val="21"/>
                <w:szCs w:val="21"/>
                <w:lang w:val="en-US" w:eastAsia="zh-CN" w:bidi="ar"/>
              </w:rPr>
              <w:t>年</w:t>
            </w:r>
            <w:r>
              <w:rPr>
                <w:rStyle w:val="11"/>
                <w:sz w:val="21"/>
                <w:szCs w:val="21"/>
                <w:lang w:val="en-US" w:eastAsia="zh-CN" w:bidi="ar"/>
              </w:rPr>
              <w:t xml:space="preserve">    </w:t>
            </w:r>
            <w:r>
              <w:rPr>
                <w:rStyle w:val="10"/>
                <w:sz w:val="21"/>
                <w:szCs w:val="21"/>
                <w:lang w:val="en-US" w:eastAsia="zh-CN" w:bidi="ar"/>
              </w:rPr>
              <w:t>月                        考核人员：</w:t>
            </w:r>
            <w:r>
              <w:rPr>
                <w:rStyle w:val="11"/>
                <w:sz w:val="21"/>
                <w:szCs w:val="21"/>
                <w:lang w:val="en-US" w:eastAsia="zh-CN" w:bidi="ar"/>
              </w:rPr>
              <w:t xml:space="preserve">            </w:t>
            </w:r>
          </w:p>
        </w:tc>
      </w:tr>
      <w:tr w14:paraId="77285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tcBorders>
              <w:top w:val="single" w:color="000000" w:sz="4" w:space="0"/>
              <w:left w:val="single" w:color="000000" w:sz="4" w:space="0"/>
              <w:bottom w:val="nil"/>
              <w:right w:val="single" w:color="000000" w:sz="4" w:space="0"/>
            </w:tcBorders>
            <w:shd w:val="clear" w:color="auto" w:fill="auto"/>
            <w:noWrap/>
            <w:vAlign w:val="center"/>
          </w:tcPr>
          <w:p w14:paraId="30BBF89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2982" w:type="dxa"/>
            <w:gridSpan w:val="2"/>
            <w:tcBorders>
              <w:top w:val="single" w:color="000000" w:sz="4" w:space="0"/>
              <w:left w:val="single" w:color="000000" w:sz="4" w:space="0"/>
              <w:bottom w:val="nil"/>
              <w:right w:val="single" w:color="000000" w:sz="4" w:space="0"/>
            </w:tcBorders>
            <w:shd w:val="clear" w:color="auto" w:fill="auto"/>
            <w:noWrap/>
            <w:vAlign w:val="center"/>
          </w:tcPr>
          <w:p w14:paraId="221D5F8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检查项目</w:t>
            </w:r>
          </w:p>
        </w:tc>
        <w:tc>
          <w:tcPr>
            <w:tcW w:w="2479" w:type="dxa"/>
            <w:tcBorders>
              <w:top w:val="single" w:color="000000" w:sz="4" w:space="0"/>
              <w:left w:val="nil"/>
              <w:bottom w:val="single" w:color="000000" w:sz="4" w:space="0"/>
              <w:right w:val="single" w:color="auto" w:sz="4" w:space="0"/>
            </w:tcBorders>
            <w:shd w:val="clear" w:color="auto" w:fill="auto"/>
            <w:noWrap/>
            <w:vAlign w:val="center"/>
          </w:tcPr>
          <w:p w14:paraId="0DC4188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检查情况</w:t>
            </w:r>
          </w:p>
        </w:tc>
        <w:tc>
          <w:tcPr>
            <w:tcW w:w="7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47DC1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分值</w:t>
            </w:r>
          </w:p>
        </w:tc>
        <w:tc>
          <w:tcPr>
            <w:tcW w:w="1079" w:type="dxa"/>
            <w:tcBorders>
              <w:top w:val="single" w:color="000000" w:sz="4" w:space="0"/>
              <w:left w:val="single" w:color="auto" w:sz="4" w:space="0"/>
              <w:bottom w:val="nil"/>
              <w:right w:val="single" w:color="000000" w:sz="4" w:space="0"/>
            </w:tcBorders>
            <w:shd w:val="clear" w:color="auto" w:fill="auto"/>
            <w:noWrap/>
            <w:vAlign w:val="center"/>
          </w:tcPr>
          <w:p w14:paraId="6C9E6B6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扣分情况</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2AC267C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备注</w:t>
            </w:r>
          </w:p>
        </w:tc>
      </w:tr>
      <w:tr w14:paraId="7B9A7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6CCF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9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3C95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防治计划及实施情况</w:t>
            </w:r>
          </w:p>
        </w:tc>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4491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702"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2E77B29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10分</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23753">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F1031">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r>
      <w:tr w14:paraId="7E20C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F95C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34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6ECD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防治效果</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FF30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鼠</w:t>
            </w:r>
            <w:r>
              <w:rPr>
                <w:rFonts w:hint="eastAsia" w:ascii="宋体" w:hAnsi="宋体" w:cs="宋体"/>
                <w:b/>
                <w:bCs/>
                <w:i w:val="0"/>
                <w:iCs w:val="0"/>
                <w:color w:val="000000"/>
                <w:kern w:val="0"/>
                <w:sz w:val="21"/>
                <w:szCs w:val="21"/>
                <w:u w:val="none"/>
                <w:lang w:val="en-US" w:eastAsia="zh-CN" w:bidi="ar"/>
              </w:rPr>
              <w:t>、</w:t>
            </w:r>
            <w:r>
              <w:rPr>
                <w:rFonts w:hint="eastAsia" w:ascii="宋体" w:hAnsi="宋体" w:eastAsia="宋体" w:cs="宋体"/>
                <w:b/>
                <w:bCs/>
                <w:i w:val="0"/>
                <w:iCs w:val="0"/>
                <w:color w:val="000000"/>
                <w:kern w:val="0"/>
                <w:sz w:val="21"/>
                <w:szCs w:val="21"/>
                <w:u w:val="none"/>
                <w:lang w:val="en-US" w:eastAsia="zh-CN" w:bidi="ar"/>
              </w:rPr>
              <w:t>蟑螂</w:t>
            </w:r>
          </w:p>
        </w:tc>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B4DE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2274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20</w:t>
            </w:r>
            <w:r>
              <w:rPr>
                <w:rFonts w:hint="eastAsia" w:ascii="宋体" w:hAnsi="宋体" w:eastAsia="宋体" w:cs="宋体"/>
                <w:i w:val="0"/>
                <w:iCs w:val="0"/>
                <w:color w:val="000000"/>
                <w:kern w:val="0"/>
                <w:sz w:val="21"/>
                <w:szCs w:val="21"/>
                <w:u w:val="none"/>
                <w:lang w:val="en-US" w:eastAsia="zh-CN" w:bidi="ar"/>
              </w:rPr>
              <w:t>分</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CFFB3">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637C3">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r>
      <w:tr w14:paraId="3953A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52A0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34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D218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b/>
                <w:bCs/>
                <w:i w:val="0"/>
                <w:iCs w:val="0"/>
                <w:color w:val="000000"/>
                <w:sz w:val="21"/>
                <w:szCs w:val="21"/>
                <w:u w:val="none"/>
              </w:rPr>
            </w:pP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62CE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b/>
                <w:bCs/>
                <w:i w:val="0"/>
                <w:iCs w:val="0"/>
                <w:color w:val="000000"/>
                <w:sz w:val="21"/>
                <w:szCs w:val="21"/>
                <w:u w:val="none"/>
                <w:lang w:val="en-US"/>
              </w:rPr>
            </w:pPr>
            <w:r>
              <w:rPr>
                <w:rFonts w:hint="eastAsia" w:ascii="宋体" w:hAnsi="宋体" w:eastAsia="宋体" w:cs="宋体"/>
                <w:b/>
                <w:bCs/>
                <w:i w:val="0"/>
                <w:iCs w:val="0"/>
                <w:color w:val="000000"/>
                <w:kern w:val="0"/>
                <w:sz w:val="21"/>
                <w:szCs w:val="21"/>
                <w:u w:val="none"/>
                <w:lang w:val="en-US" w:eastAsia="zh-CN" w:bidi="ar"/>
              </w:rPr>
              <w:t>蚊</w:t>
            </w:r>
            <w:r>
              <w:rPr>
                <w:rFonts w:hint="eastAsia" w:ascii="宋体" w:hAnsi="宋体" w:cs="宋体"/>
                <w:b/>
                <w:bCs/>
                <w:i w:val="0"/>
                <w:iCs w:val="0"/>
                <w:color w:val="000000"/>
                <w:kern w:val="0"/>
                <w:sz w:val="21"/>
                <w:szCs w:val="21"/>
                <w:u w:val="none"/>
                <w:lang w:val="en-US" w:eastAsia="zh-CN" w:bidi="ar"/>
              </w:rPr>
              <w:t>、蝇</w:t>
            </w:r>
          </w:p>
        </w:tc>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C09A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D0FD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20</w:t>
            </w:r>
            <w:r>
              <w:rPr>
                <w:rFonts w:hint="eastAsia" w:ascii="宋体" w:hAnsi="宋体" w:eastAsia="宋体" w:cs="宋体"/>
                <w:i w:val="0"/>
                <w:iCs w:val="0"/>
                <w:color w:val="000000"/>
                <w:kern w:val="0"/>
                <w:sz w:val="21"/>
                <w:szCs w:val="21"/>
                <w:u w:val="none"/>
                <w:lang w:val="en-US" w:eastAsia="zh-CN" w:bidi="ar"/>
              </w:rPr>
              <w:t>分</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C4FA2">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256C3">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r>
      <w:tr w14:paraId="761E0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8D58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34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B8F5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b/>
                <w:bCs/>
                <w:i w:val="0"/>
                <w:iCs w:val="0"/>
                <w:color w:val="000000"/>
                <w:sz w:val="21"/>
                <w:szCs w:val="21"/>
                <w:u w:val="none"/>
              </w:rPr>
            </w:pP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41BE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宋体" w:hAnsi="宋体" w:eastAsia="宋体" w:cs="宋体"/>
                <w:b/>
                <w:bCs/>
                <w:i w:val="0"/>
                <w:iCs w:val="0"/>
                <w:color w:val="000000"/>
                <w:sz w:val="21"/>
                <w:szCs w:val="21"/>
                <w:u w:val="none"/>
              </w:rPr>
            </w:pPr>
            <w:r>
              <w:rPr>
                <w:rFonts w:hint="eastAsia" w:ascii="宋体" w:hAnsi="宋体" w:cs="宋体"/>
                <w:b/>
                <w:bCs/>
                <w:i w:val="0"/>
                <w:iCs w:val="0"/>
                <w:color w:val="000000"/>
                <w:kern w:val="0"/>
                <w:sz w:val="21"/>
                <w:szCs w:val="21"/>
                <w:u w:val="none"/>
                <w:lang w:val="en-US" w:eastAsia="zh-CN" w:bidi="ar"/>
              </w:rPr>
              <w:t>白蚂蚁</w:t>
            </w:r>
          </w:p>
        </w:tc>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FAD7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A497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20分</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2A5A2">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13AAA">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r>
      <w:tr w14:paraId="6792E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784A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5</w:t>
            </w:r>
          </w:p>
        </w:tc>
        <w:tc>
          <w:tcPr>
            <w:tcW w:w="29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5F54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服务态度</w:t>
            </w:r>
          </w:p>
        </w:tc>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8371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50CD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5</w:t>
            </w:r>
            <w:r>
              <w:rPr>
                <w:rFonts w:hint="eastAsia" w:ascii="宋体" w:hAnsi="宋体" w:eastAsia="宋体" w:cs="宋体"/>
                <w:i w:val="0"/>
                <w:iCs w:val="0"/>
                <w:color w:val="000000"/>
                <w:kern w:val="0"/>
                <w:sz w:val="21"/>
                <w:szCs w:val="21"/>
                <w:u w:val="none"/>
                <w:lang w:val="en-US" w:eastAsia="zh-CN" w:bidi="ar"/>
              </w:rPr>
              <w:t>分</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6E15B">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E0659">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r>
      <w:tr w14:paraId="0FB77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6541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c>
          <w:tcPr>
            <w:tcW w:w="29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B329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投诉处理</w:t>
            </w:r>
          </w:p>
        </w:tc>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B44C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4B96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5</w:t>
            </w:r>
            <w:r>
              <w:rPr>
                <w:rFonts w:hint="eastAsia" w:ascii="宋体" w:hAnsi="宋体" w:eastAsia="宋体" w:cs="宋体"/>
                <w:i w:val="0"/>
                <w:iCs w:val="0"/>
                <w:color w:val="000000"/>
                <w:kern w:val="0"/>
                <w:sz w:val="21"/>
                <w:szCs w:val="21"/>
                <w:u w:val="none"/>
                <w:lang w:val="en-US" w:eastAsia="zh-CN" w:bidi="ar"/>
              </w:rPr>
              <w:t>分</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2066F">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B32B6">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r>
      <w:tr w14:paraId="53E76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C4F5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7</w:t>
            </w:r>
          </w:p>
        </w:tc>
        <w:tc>
          <w:tcPr>
            <w:tcW w:w="29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B046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药物及工具使用</w:t>
            </w:r>
          </w:p>
        </w:tc>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4390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6D28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10分</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57A5A">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B7BA8">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r>
      <w:tr w14:paraId="74D4D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E43D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8</w:t>
            </w:r>
          </w:p>
        </w:tc>
        <w:tc>
          <w:tcPr>
            <w:tcW w:w="2982" w:type="dxa"/>
            <w:gridSpan w:val="2"/>
            <w:tcBorders>
              <w:top w:val="nil"/>
              <w:left w:val="nil"/>
              <w:bottom w:val="nil"/>
              <w:right w:val="nil"/>
            </w:tcBorders>
            <w:shd w:val="clear" w:color="auto" w:fill="auto"/>
            <w:noWrap/>
            <w:vAlign w:val="center"/>
          </w:tcPr>
          <w:p w14:paraId="6296A0F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客户意见调查</w:t>
            </w:r>
          </w:p>
        </w:tc>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B7C6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5466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10分</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68A52">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ED79E">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r>
      <w:tr w14:paraId="1908C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1225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本月评价：</w:t>
            </w:r>
          </w:p>
        </w:tc>
      </w:tr>
      <w:tr w14:paraId="3C2D0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52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C30D20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备注：得分90以上，不扣款；80—89分，扣当月合同费用10%；70—79分，扣当月合同费用20%；60—69分，扣当月合同费用40%；60分以下扣除当月全部费用；连续三个月60分以下解除合同。</w:t>
            </w:r>
          </w:p>
        </w:tc>
      </w:tr>
    </w:tbl>
    <w:p w14:paraId="1D22C4DE">
      <w:pPr>
        <w:pStyle w:val="6"/>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cs="宋体"/>
          <w:color w:val="auto"/>
          <w:highlight w:val="none"/>
          <w:lang w:val="en-US" w:eastAsia="zh-CN"/>
        </w:rPr>
      </w:pPr>
    </w:p>
    <w:p w14:paraId="438BDBAB">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6.2单项处罚：</w:t>
      </w:r>
    </w:p>
    <w:p w14:paraId="48B2C8CD">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（1）对各类投诉经调查属实，按照相关部门处罚意见进行处罚，或酌情扣除服务费用100-1000元/次。</w:t>
      </w:r>
    </w:p>
    <w:p w14:paraId="7C36562B">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（2）考核结果为不合格时，医院将以书面形式通知成交供应商限期整改，成交供应商必须向医院提交整改措施报告，由医院监督实施。未整改情况，如在同一区域或地点内，两周内重复发生同类</w:t>
      </w:r>
      <w:r>
        <w:rPr>
          <w:rFonts w:hint="eastAsia" w:ascii="宋体" w:hAnsi="宋体" w:cs="宋体"/>
          <w:color w:val="auto"/>
          <w:highlight w:val="none"/>
          <w:lang w:val="en-US" w:eastAsia="zh-CN"/>
        </w:rPr>
        <w:t>消杀</w:t>
      </w:r>
      <w:r>
        <w:rPr>
          <w:rFonts w:hint="eastAsia" w:ascii="宋体" w:hAnsi="宋体" w:cs="宋体"/>
          <w:color w:val="auto"/>
          <w:highlight w:val="none"/>
        </w:rPr>
        <w:t>问题，处罚将依次加倍。</w:t>
      </w:r>
    </w:p>
    <w:p w14:paraId="163120EF">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（3）对成交供应商自身管理不善造成的事故、差错除应赔偿医院损失外，将根据所造成的损失承担所有的经济损失及相应的法律责任。</w:t>
      </w:r>
    </w:p>
    <w:p w14:paraId="394FD209">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7.风险承担与责任认定机制</w:t>
      </w:r>
    </w:p>
    <w:p w14:paraId="4E58D73B">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7.1 如发生工伤、疾病乃至死亡的一切责任及费用由成交供应商全部负责并严格遵守国家有关的法律、法规及行业标准</w:t>
      </w:r>
    </w:p>
    <w:p w14:paraId="52E3A9F1">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7.2 因意外事故或作业安全问题引发的人身伤亡和财产损失，成交供应商自行依法承担赔偿责任。</w:t>
      </w:r>
    </w:p>
    <w:p w14:paraId="15DDA749">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7.3 如发生治安事件，责任认定以公安部门裁定为准；非治安事件的责任认定，由双方协商，协商不成的，以诉讼或仲裁方式认定。</w:t>
      </w:r>
    </w:p>
    <w:p w14:paraId="25A45C7F">
      <w:pPr>
        <w:pStyle w:val="6"/>
        <w:widowControl/>
        <w:spacing w:line="480" w:lineRule="auto"/>
        <w:ind w:firstLine="482" w:firstLineChars="200"/>
        <w:rPr>
          <w:rFonts w:ascii="宋体" w:hAnsi="宋体" w:cs="宋体"/>
          <w:b/>
          <w:color w:val="auto"/>
          <w:highlight w:val="none"/>
        </w:rPr>
      </w:pPr>
      <w:r>
        <w:rPr>
          <w:rFonts w:hint="eastAsia" w:ascii="宋体" w:hAnsi="宋体" w:cs="宋体"/>
          <w:b/>
          <w:color w:val="auto"/>
          <w:highlight w:val="none"/>
        </w:rPr>
        <w:t>三、商务条件</w:t>
      </w:r>
    </w:p>
    <w:p w14:paraId="5060ADB4">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1、服务地点：</w:t>
      </w:r>
    </w:p>
    <w:p w14:paraId="03450231">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1.1厦门市</w:t>
      </w:r>
      <w:r>
        <w:rPr>
          <w:rFonts w:hint="eastAsia" w:ascii="宋体" w:hAnsi="宋体" w:cs="宋体"/>
          <w:color w:val="auto"/>
          <w:highlight w:val="none"/>
          <w:lang w:val="en-US" w:eastAsia="zh-CN"/>
        </w:rPr>
        <w:t>医学院附属口腔</w:t>
      </w:r>
      <w:r>
        <w:rPr>
          <w:rFonts w:hint="eastAsia" w:ascii="宋体" w:hAnsi="宋体" w:cs="宋体"/>
          <w:color w:val="auto"/>
          <w:highlight w:val="none"/>
        </w:rPr>
        <w:t>医院总院，厦门市湖里区</w:t>
      </w:r>
      <w:r>
        <w:rPr>
          <w:rFonts w:hint="eastAsia" w:ascii="宋体" w:hAnsi="宋体" w:cs="宋体"/>
          <w:color w:val="auto"/>
          <w:highlight w:val="none"/>
          <w:lang w:val="en-US" w:eastAsia="zh-CN"/>
        </w:rPr>
        <w:t>吕玲</w:t>
      </w:r>
      <w:r>
        <w:rPr>
          <w:rFonts w:hint="eastAsia" w:ascii="宋体" w:hAnsi="宋体" w:cs="宋体"/>
          <w:color w:val="auto"/>
          <w:highlight w:val="none"/>
        </w:rPr>
        <w:t>路1</w:t>
      </w:r>
      <w:r>
        <w:rPr>
          <w:rFonts w:hint="eastAsia" w:ascii="宋体" w:hAnsi="宋体" w:cs="宋体"/>
          <w:color w:val="auto"/>
          <w:highlight w:val="none"/>
          <w:lang w:val="en-US" w:eastAsia="zh-CN"/>
        </w:rPr>
        <w:t>30</w:t>
      </w:r>
      <w:r>
        <w:rPr>
          <w:rFonts w:hint="eastAsia" w:ascii="宋体" w:hAnsi="宋体" w:cs="宋体"/>
          <w:color w:val="auto"/>
          <w:highlight w:val="none"/>
        </w:rPr>
        <w:t>9号。</w:t>
      </w:r>
    </w:p>
    <w:p w14:paraId="6D4C0352">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1.2厦门市</w:t>
      </w:r>
      <w:r>
        <w:rPr>
          <w:rFonts w:hint="eastAsia" w:ascii="宋体" w:hAnsi="宋体" w:cs="宋体"/>
          <w:color w:val="auto"/>
          <w:highlight w:val="none"/>
          <w:lang w:val="en-US" w:eastAsia="zh-CN"/>
        </w:rPr>
        <w:t>医学院附属口腔</w:t>
      </w:r>
      <w:r>
        <w:rPr>
          <w:rFonts w:hint="eastAsia" w:ascii="宋体" w:hAnsi="宋体" w:cs="宋体"/>
          <w:color w:val="auto"/>
          <w:highlight w:val="none"/>
        </w:rPr>
        <w:t>医院</w:t>
      </w:r>
      <w:r>
        <w:rPr>
          <w:rFonts w:hint="eastAsia" w:ascii="宋体" w:hAnsi="宋体" w:cs="宋体"/>
          <w:color w:val="auto"/>
          <w:highlight w:val="none"/>
          <w:lang w:val="en-US" w:eastAsia="zh-CN"/>
        </w:rPr>
        <w:t>斗西</w:t>
      </w:r>
      <w:r>
        <w:rPr>
          <w:rFonts w:hint="eastAsia" w:ascii="宋体" w:hAnsi="宋体" w:cs="宋体"/>
          <w:color w:val="auto"/>
          <w:highlight w:val="none"/>
          <w:lang w:eastAsia="zh-CN"/>
        </w:rPr>
        <w:t>院区</w:t>
      </w:r>
      <w:r>
        <w:rPr>
          <w:rFonts w:hint="eastAsia" w:ascii="宋体" w:hAnsi="宋体" w:cs="宋体"/>
          <w:color w:val="auto"/>
          <w:highlight w:val="none"/>
        </w:rPr>
        <w:t>，厦门市</w:t>
      </w:r>
      <w:r>
        <w:rPr>
          <w:rFonts w:hint="eastAsia" w:ascii="宋体" w:hAnsi="宋体" w:cs="宋体"/>
          <w:color w:val="auto"/>
          <w:highlight w:val="none"/>
          <w:lang w:val="en-US" w:eastAsia="zh-CN"/>
        </w:rPr>
        <w:t>思明</w:t>
      </w:r>
      <w:r>
        <w:rPr>
          <w:rFonts w:hint="eastAsia" w:ascii="宋体" w:hAnsi="宋体" w:cs="宋体"/>
          <w:color w:val="auto"/>
          <w:highlight w:val="none"/>
        </w:rPr>
        <w:t>区</w:t>
      </w:r>
      <w:r>
        <w:rPr>
          <w:rFonts w:hint="eastAsia" w:ascii="宋体" w:hAnsi="宋体" w:cs="宋体"/>
          <w:color w:val="auto"/>
          <w:highlight w:val="none"/>
          <w:lang w:val="en-US" w:eastAsia="zh-CN"/>
        </w:rPr>
        <w:t>斗西路2</w:t>
      </w:r>
      <w:r>
        <w:rPr>
          <w:rFonts w:hint="eastAsia" w:ascii="宋体" w:hAnsi="宋体" w:cs="宋体"/>
          <w:color w:val="auto"/>
          <w:highlight w:val="none"/>
        </w:rPr>
        <w:t>号。</w:t>
      </w:r>
    </w:p>
    <w:p w14:paraId="38C356FB">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1.3厦门市</w:t>
      </w:r>
      <w:r>
        <w:rPr>
          <w:rFonts w:hint="eastAsia" w:ascii="宋体" w:hAnsi="宋体" w:cs="宋体"/>
          <w:color w:val="auto"/>
          <w:highlight w:val="none"/>
          <w:lang w:val="en-US" w:eastAsia="zh-CN"/>
        </w:rPr>
        <w:t>医学院附属口腔</w:t>
      </w:r>
      <w:r>
        <w:rPr>
          <w:rFonts w:hint="eastAsia" w:ascii="宋体" w:hAnsi="宋体" w:cs="宋体"/>
          <w:color w:val="auto"/>
          <w:highlight w:val="none"/>
        </w:rPr>
        <w:t>医院</w:t>
      </w:r>
      <w:r>
        <w:rPr>
          <w:rFonts w:hint="eastAsia" w:ascii="宋体" w:hAnsi="宋体" w:cs="宋体"/>
          <w:color w:val="auto"/>
          <w:highlight w:val="none"/>
          <w:lang w:val="en-US" w:eastAsia="zh-CN"/>
        </w:rPr>
        <w:t>集美</w:t>
      </w:r>
      <w:r>
        <w:rPr>
          <w:rFonts w:hint="eastAsia" w:ascii="宋体" w:hAnsi="宋体" w:cs="宋体"/>
          <w:color w:val="auto"/>
          <w:highlight w:val="none"/>
          <w:lang w:eastAsia="zh-CN"/>
        </w:rPr>
        <w:t>院区</w:t>
      </w:r>
      <w:r>
        <w:rPr>
          <w:rFonts w:hint="eastAsia" w:ascii="宋体" w:hAnsi="宋体" w:cs="宋体"/>
          <w:color w:val="auto"/>
          <w:highlight w:val="none"/>
        </w:rPr>
        <w:t>，厦门市</w:t>
      </w:r>
      <w:r>
        <w:rPr>
          <w:rFonts w:hint="eastAsia" w:ascii="宋体" w:hAnsi="宋体" w:cs="宋体"/>
          <w:color w:val="auto"/>
          <w:highlight w:val="none"/>
          <w:lang w:val="en-US" w:eastAsia="zh-CN"/>
        </w:rPr>
        <w:t>集美</w:t>
      </w:r>
      <w:r>
        <w:rPr>
          <w:rFonts w:hint="eastAsia" w:ascii="宋体" w:hAnsi="宋体" w:cs="宋体"/>
          <w:color w:val="auto"/>
          <w:highlight w:val="none"/>
        </w:rPr>
        <w:t>区</w:t>
      </w:r>
      <w:r>
        <w:rPr>
          <w:rFonts w:hint="eastAsia" w:ascii="宋体" w:hAnsi="宋体" w:cs="宋体"/>
          <w:color w:val="auto"/>
          <w:highlight w:val="none"/>
          <w:lang w:val="en-US" w:eastAsia="zh-CN"/>
        </w:rPr>
        <w:t>杏林南路98号</w:t>
      </w:r>
      <w:r>
        <w:rPr>
          <w:rFonts w:hint="eastAsia" w:ascii="宋体" w:hAnsi="宋体" w:cs="宋体"/>
          <w:color w:val="auto"/>
          <w:highlight w:val="none"/>
        </w:rPr>
        <w:t>。</w:t>
      </w:r>
    </w:p>
    <w:p w14:paraId="6161D07D">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FF0000"/>
          <w:highlight w:val="none"/>
        </w:rPr>
      </w:pPr>
      <w:r>
        <w:rPr>
          <w:rFonts w:hint="eastAsia" w:ascii="宋体" w:hAnsi="宋体" w:cs="宋体"/>
          <w:color w:val="auto"/>
          <w:highlight w:val="none"/>
        </w:rPr>
        <w:t>2、服务时间：</w:t>
      </w:r>
      <w:r>
        <w:rPr>
          <w:rFonts w:hint="eastAsia" w:ascii="宋体" w:hAnsi="宋体" w:cs="宋体"/>
          <w:color w:val="FF0000"/>
          <w:highlight w:val="none"/>
        </w:rPr>
        <w:t>合同签订后服务期2年</w:t>
      </w:r>
    </w:p>
    <w:p w14:paraId="0B6CF9BF">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lang w:val="en-US" w:eastAsia="zh-CN"/>
        </w:rPr>
      </w:pPr>
      <w:r>
        <w:rPr>
          <w:rFonts w:hint="eastAsia" w:ascii="宋体" w:hAnsi="宋体" w:cs="宋体"/>
          <w:color w:val="auto"/>
          <w:highlight w:val="none"/>
        </w:rPr>
        <w:t>3、</w:t>
      </w:r>
      <w:r>
        <w:rPr>
          <w:rFonts w:hint="eastAsia" w:ascii="宋体" w:hAnsi="宋体" w:cs="宋体"/>
          <w:color w:val="auto"/>
          <w:highlight w:val="none"/>
          <w:lang w:eastAsia="zh-CN"/>
        </w:rPr>
        <w:t>付款</w:t>
      </w:r>
      <w:r>
        <w:rPr>
          <w:rFonts w:hint="eastAsia" w:ascii="宋体" w:hAnsi="宋体" w:cs="宋体"/>
          <w:color w:val="auto"/>
          <w:highlight w:val="none"/>
        </w:rPr>
        <w:t>方式：</w:t>
      </w:r>
      <w:r>
        <w:rPr>
          <w:rFonts w:hint="eastAsia" w:ascii="宋体" w:hAnsi="宋体" w:cs="宋体"/>
          <w:color w:val="auto"/>
          <w:highlight w:val="none"/>
          <w:lang w:val="en-US" w:eastAsia="zh-CN"/>
        </w:rPr>
        <w:t>按季度付款，</w:t>
      </w:r>
      <w:r>
        <w:rPr>
          <w:rFonts w:hint="eastAsia" w:ascii="宋体" w:hAnsi="宋体" w:cs="宋体"/>
          <w:color w:val="auto"/>
          <w:highlight w:val="none"/>
        </w:rPr>
        <w:t>成交供应商按合同要求保质保量提供服务，并向采购人出具正式合法的税务发票</w:t>
      </w:r>
      <w:r>
        <w:rPr>
          <w:rFonts w:hint="eastAsia" w:ascii="宋体" w:hAnsi="宋体" w:cs="宋体"/>
          <w:color w:val="auto"/>
          <w:highlight w:val="none"/>
          <w:lang w:eastAsia="zh-CN"/>
        </w:rPr>
        <w:t>，</w:t>
      </w:r>
      <w:r>
        <w:rPr>
          <w:rFonts w:hint="eastAsia" w:ascii="宋体" w:hAnsi="宋体" w:cs="宋体"/>
          <w:color w:val="auto"/>
          <w:highlight w:val="none"/>
          <w:lang w:val="en-US" w:eastAsia="zh-CN"/>
        </w:rPr>
        <w:t>采购人根据《病媒生物防治月度考核评分表》实际打分情况进行付款。</w:t>
      </w:r>
    </w:p>
    <w:p w14:paraId="52610D99">
      <w:pPr>
        <w:pStyle w:val="3"/>
        <w:keepNext w:val="0"/>
        <w:keepLines w:val="0"/>
        <w:spacing w:before="0" w:after="0" w:line="360" w:lineRule="auto"/>
        <w:ind w:firstLine="482"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四、资格证明文件</w:t>
      </w:r>
    </w:p>
    <w:p w14:paraId="6213CF4B">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lang w:val="en-US" w:eastAsia="zh-CN"/>
        </w:rPr>
      </w:pPr>
      <w:r>
        <w:rPr>
          <w:rFonts w:hint="eastAsia" w:ascii="宋体" w:hAnsi="宋体" w:cs="宋体"/>
          <w:color w:val="auto"/>
          <w:highlight w:val="none"/>
        </w:rPr>
        <w:t xml:space="preserve"> </w:t>
      </w:r>
      <w:r>
        <w:rPr>
          <w:rFonts w:hint="eastAsia" w:ascii="宋体" w:hAnsi="宋体" w:cs="宋体"/>
          <w:color w:val="auto"/>
          <w:highlight w:val="none"/>
          <w:lang w:val="en-US" w:eastAsia="zh-CN"/>
        </w:rPr>
        <w:t>1、报价人应提供工商营业执照（副本）（加盖公章）的复印件，提供税务登记证及组织机构代码证复印件。报价人已提供加载有统一社会信用代码营业执照的，视为已提供税务登记证和组织机构代码证。</w:t>
      </w:r>
    </w:p>
    <w:p w14:paraId="4210E780">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lang w:val="en-US" w:eastAsia="zh-CN"/>
        </w:rPr>
        <w:t>2、报价人全权代表若不是单位负责人，应提供单位授权书原件，并提供被授权代表身份证复印件。</w:t>
      </w:r>
    </w:p>
    <w:p w14:paraId="07AA3617">
      <w:pPr>
        <w:spacing w:line="360" w:lineRule="auto"/>
        <w:ind w:left="69"/>
        <w:rPr>
          <w:rFonts w:ascii="宋体" w:hAnsi="宋体"/>
          <w:b/>
          <w:color w:val="auto"/>
          <w:sz w:val="24"/>
          <w:szCs w:val="24"/>
          <w:highlight w:val="none"/>
        </w:rPr>
      </w:pPr>
      <w:r>
        <w:rPr>
          <w:rFonts w:hint="eastAsia" w:ascii="宋体" w:hAnsi="宋体"/>
          <w:b/>
          <w:color w:val="auto"/>
          <w:sz w:val="24"/>
          <w:szCs w:val="24"/>
          <w:highlight w:val="none"/>
        </w:rPr>
        <w:t>五、服务报价</w:t>
      </w:r>
    </w:p>
    <w:p w14:paraId="623596C1">
      <w:pPr>
        <w:spacing w:line="360" w:lineRule="auto"/>
        <w:ind w:left="-178" w:leftChars="-85" w:right="-63" w:rightChars="-30"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1、本项目报价人须以人民币报价且报价总价应含药物产品费、路程费、伴随服务费，税收等一切费用。采购人不接受有选择的报价。</w:t>
      </w:r>
    </w:p>
    <w:p w14:paraId="5A5300C6">
      <w:pPr>
        <w:numPr>
          <w:ilvl w:val="0"/>
          <w:numId w:val="1"/>
        </w:numPr>
        <w:spacing w:line="360" w:lineRule="auto"/>
        <w:outlineLvl w:val="0"/>
        <w:rPr>
          <w:rFonts w:hint="eastAsia" w:ascii="宋体" w:hAnsi="宋体"/>
          <w:b/>
          <w:sz w:val="24"/>
        </w:rPr>
      </w:pPr>
      <w:r>
        <w:rPr>
          <w:rFonts w:hint="eastAsia" w:ascii="宋体" w:hAnsi="宋体"/>
          <w:b/>
          <w:sz w:val="24"/>
        </w:rPr>
        <w:t>磋商评审标准</w:t>
      </w:r>
    </w:p>
    <w:p w14:paraId="21969FE5">
      <w:pPr>
        <w:spacing w:line="360" w:lineRule="auto"/>
        <w:ind w:left="-178" w:leftChars="-85" w:right="-63" w:rightChars="-30" w:firstLine="480" w:firstLineChars="200"/>
        <w:rPr>
          <w:rFonts w:hint="default"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本项目采用综合评分法招标，医院采购小组组成评标小组对每份投标文件进行客观打分。</w:t>
      </w:r>
    </w:p>
    <w:p w14:paraId="6C885496">
      <w:pPr>
        <w:spacing w:line="360" w:lineRule="auto"/>
        <w:outlineLvl w:val="0"/>
        <w:rPr>
          <w:rFonts w:ascii="宋体" w:hAnsi="宋体"/>
          <w:sz w:val="24"/>
          <w:szCs w:val="24"/>
        </w:rPr>
      </w:pPr>
      <w:r>
        <w:rPr>
          <w:rFonts w:hint="eastAsia" w:ascii="宋体" w:hAnsi="宋体"/>
          <w:b/>
          <w:sz w:val="24"/>
        </w:rPr>
        <w:t>综合评分法：</w:t>
      </w:r>
      <w:r>
        <w:rPr>
          <w:rFonts w:hint="eastAsia" w:ascii="宋体" w:hAnsi="宋体"/>
          <w:sz w:val="24"/>
        </w:rPr>
        <w:t>综合得分=</w:t>
      </w:r>
      <w:r>
        <w:rPr>
          <w:rFonts w:ascii="宋体" w:hAnsi="宋体"/>
          <w:sz w:val="24"/>
          <w:szCs w:val="24"/>
        </w:rPr>
        <w:t xml:space="preserve"> F1 + F2 + F3 </w:t>
      </w:r>
    </w:p>
    <w:p w14:paraId="337995DA">
      <w:pPr>
        <w:spacing w:line="360" w:lineRule="auto"/>
        <w:outlineLvl w:val="0"/>
        <w:rPr>
          <w:rFonts w:ascii="宋体" w:hAnsi="宋体"/>
          <w:bCs/>
          <w:sz w:val="24"/>
        </w:rPr>
      </w:pPr>
      <w:r>
        <w:rPr>
          <w:rFonts w:hint="eastAsia" w:ascii="宋体" w:hAnsi="宋体"/>
          <w:b/>
          <w:sz w:val="24"/>
          <w:szCs w:val="24"/>
        </w:rPr>
        <w:t>（一）技术评分（F1）标准（满分</w:t>
      </w:r>
      <w:r>
        <w:rPr>
          <w:rFonts w:hint="eastAsia" w:ascii="宋体" w:hAnsi="宋体"/>
          <w:b/>
          <w:sz w:val="24"/>
          <w:szCs w:val="24"/>
          <w:lang w:val="en-US" w:eastAsia="zh-CN"/>
        </w:rPr>
        <w:t>65</w:t>
      </w:r>
      <w:r>
        <w:rPr>
          <w:rFonts w:hint="eastAsia" w:ascii="宋体" w:hAnsi="宋体"/>
          <w:b/>
          <w:sz w:val="24"/>
          <w:szCs w:val="24"/>
        </w:rPr>
        <w:t>分）：</w:t>
      </w:r>
    </w:p>
    <w:tbl>
      <w:tblPr>
        <w:tblStyle w:val="7"/>
        <w:tblW w:w="88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6840"/>
        <w:gridCol w:w="1186"/>
      </w:tblGrid>
      <w:tr w14:paraId="44721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14:paraId="65CD1C96">
            <w:pPr>
              <w:pStyle w:val="12"/>
              <w:spacing w:line="360" w:lineRule="auto"/>
              <w:jc w:val="center"/>
              <w:rPr>
                <w:rFonts w:ascii="宋体" w:hAnsi="宋体" w:cs="Arial"/>
                <w:kern w:val="10"/>
                <w:szCs w:val="21"/>
              </w:rPr>
            </w:pPr>
            <w:r>
              <w:rPr>
                <w:rFonts w:hint="eastAsia" w:ascii="宋体" w:hAnsi="宋体" w:cs="Arial"/>
                <w:szCs w:val="21"/>
              </w:rPr>
              <w:t>序号</w:t>
            </w:r>
          </w:p>
        </w:tc>
        <w:tc>
          <w:tcPr>
            <w:tcW w:w="6840" w:type="dxa"/>
            <w:vAlign w:val="center"/>
          </w:tcPr>
          <w:p w14:paraId="7A15E38A">
            <w:pPr>
              <w:spacing w:line="360" w:lineRule="auto"/>
              <w:rPr>
                <w:rFonts w:ascii="宋体" w:hAnsi="宋体"/>
                <w:szCs w:val="21"/>
              </w:rPr>
            </w:pPr>
            <w:r>
              <w:rPr>
                <w:rFonts w:hint="eastAsia" w:ascii="宋体" w:hAnsi="宋体" w:cs="Arial"/>
                <w:szCs w:val="21"/>
              </w:rPr>
              <w:t>评分界定</w:t>
            </w:r>
          </w:p>
        </w:tc>
        <w:tc>
          <w:tcPr>
            <w:tcW w:w="1186" w:type="dxa"/>
            <w:vAlign w:val="center"/>
          </w:tcPr>
          <w:p w14:paraId="21F5A66F">
            <w:pPr>
              <w:spacing w:line="360" w:lineRule="auto"/>
              <w:jc w:val="center"/>
              <w:rPr>
                <w:rFonts w:ascii="宋体" w:hAnsi="宋体"/>
                <w:szCs w:val="21"/>
              </w:rPr>
            </w:pPr>
            <w:r>
              <w:rPr>
                <w:rFonts w:hint="eastAsia" w:ascii="宋体" w:hAnsi="宋体" w:cs="Arial"/>
                <w:szCs w:val="21"/>
              </w:rPr>
              <w:t>满分分值</w:t>
            </w:r>
          </w:p>
        </w:tc>
      </w:tr>
      <w:tr w14:paraId="08AD0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14:paraId="7173DA4B">
            <w:pPr>
              <w:pStyle w:val="12"/>
              <w:spacing w:line="360" w:lineRule="auto"/>
              <w:jc w:val="center"/>
              <w:rPr>
                <w:rFonts w:ascii="宋体" w:hAnsi="宋体" w:cs="Arial"/>
                <w:kern w:val="10"/>
                <w:szCs w:val="21"/>
              </w:rPr>
            </w:pPr>
            <w:r>
              <w:rPr>
                <w:rFonts w:hint="eastAsia" w:ascii="宋体" w:hAnsi="宋体"/>
                <w:szCs w:val="21"/>
              </w:rPr>
              <w:t>1</w:t>
            </w:r>
            <w:r>
              <w:rPr>
                <w:rFonts w:ascii="宋体" w:hAnsi="宋体"/>
                <w:szCs w:val="21"/>
              </w:rPr>
              <w:t>-1</w:t>
            </w:r>
          </w:p>
        </w:tc>
        <w:tc>
          <w:tcPr>
            <w:tcW w:w="6840" w:type="dxa"/>
            <w:vAlign w:val="center"/>
          </w:tcPr>
          <w:p w14:paraId="5E5013ED">
            <w:pPr>
              <w:widowControl/>
              <w:spacing w:line="440" w:lineRule="exact"/>
              <w:jc w:val="left"/>
              <w:rPr>
                <w:rFonts w:ascii="宋体" w:hAnsi="宋体" w:cs="宋体"/>
                <w:kern w:val="0"/>
                <w:szCs w:val="21"/>
              </w:rPr>
            </w:pPr>
            <w:r>
              <w:t>根据各</w:t>
            </w:r>
            <w:r>
              <w:rPr>
                <w:rFonts w:hint="eastAsia"/>
              </w:rPr>
              <w:t>报价</w:t>
            </w:r>
            <w:r>
              <w:t>人制定的服务方案进行评价</w:t>
            </w:r>
            <w:r>
              <w:rPr>
                <w:rFonts w:hint="eastAsia"/>
              </w:rPr>
              <w:t>：</w:t>
            </w:r>
            <w:r>
              <w:t>提供方案得</w:t>
            </w:r>
            <w:r>
              <w:rPr>
                <w:rFonts w:hint="eastAsia"/>
              </w:rPr>
              <w:t>3分，</w:t>
            </w:r>
            <w:r>
              <w:rPr>
                <w:rFonts w:hint="eastAsia"/>
                <w:lang w:val="en-US" w:eastAsia="zh-CN"/>
              </w:rPr>
              <w:t>未提供</w:t>
            </w:r>
            <w:r>
              <w:rPr>
                <w:rFonts w:hint="eastAsia"/>
              </w:rPr>
              <w:t>不得分。</w:t>
            </w:r>
          </w:p>
        </w:tc>
        <w:tc>
          <w:tcPr>
            <w:tcW w:w="1186" w:type="dxa"/>
            <w:vAlign w:val="center"/>
          </w:tcPr>
          <w:p w14:paraId="69B421A3">
            <w:pPr>
              <w:spacing w:line="360" w:lineRule="auto"/>
              <w:jc w:val="center"/>
              <w:rPr>
                <w:rFonts w:ascii="宋体" w:hAnsi="宋体"/>
                <w:szCs w:val="21"/>
              </w:rPr>
            </w:pPr>
            <w:r>
              <w:rPr>
                <w:rFonts w:hint="eastAsia" w:ascii="宋体" w:hAnsi="宋体"/>
                <w:szCs w:val="21"/>
              </w:rPr>
              <w:t>3</w:t>
            </w:r>
          </w:p>
        </w:tc>
      </w:tr>
      <w:tr w14:paraId="16499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14:paraId="33495024">
            <w:pPr>
              <w:pStyle w:val="12"/>
              <w:spacing w:line="360" w:lineRule="auto"/>
              <w:jc w:val="center"/>
              <w:rPr>
                <w:rFonts w:ascii="宋体" w:hAnsi="宋体" w:cs="Arial"/>
                <w:kern w:val="10"/>
                <w:szCs w:val="21"/>
              </w:rPr>
            </w:pPr>
            <w:r>
              <w:rPr>
                <w:rFonts w:ascii="宋体" w:hAnsi="宋体"/>
                <w:szCs w:val="21"/>
              </w:rPr>
              <w:t>1-</w:t>
            </w:r>
            <w:r>
              <w:rPr>
                <w:rFonts w:hint="eastAsia" w:ascii="宋体" w:hAnsi="宋体"/>
                <w:szCs w:val="21"/>
              </w:rPr>
              <w:t>2</w:t>
            </w:r>
          </w:p>
        </w:tc>
        <w:tc>
          <w:tcPr>
            <w:tcW w:w="6840" w:type="dxa"/>
            <w:vAlign w:val="center"/>
          </w:tcPr>
          <w:p w14:paraId="05DA2F2A">
            <w:pPr>
              <w:widowControl/>
              <w:spacing w:line="440" w:lineRule="exact"/>
              <w:jc w:val="left"/>
              <w:rPr>
                <w:rFonts w:ascii="宋体" w:hAnsi="宋体" w:cs="宋体"/>
                <w:kern w:val="0"/>
                <w:szCs w:val="21"/>
              </w:rPr>
            </w:pPr>
            <w:r>
              <w:t>根据各报价人提供的药品使用方案进行评价</w:t>
            </w:r>
            <w:r>
              <w:rPr>
                <w:rFonts w:hint="eastAsia"/>
              </w:rPr>
              <w:t>：</w:t>
            </w:r>
            <w:r>
              <w:t>提供方案得</w:t>
            </w:r>
            <w:r>
              <w:rPr>
                <w:rFonts w:hint="eastAsia"/>
              </w:rPr>
              <w:t>3分，</w:t>
            </w:r>
            <w:r>
              <w:rPr>
                <w:rFonts w:hint="eastAsia"/>
                <w:lang w:val="en-US" w:eastAsia="zh-CN"/>
              </w:rPr>
              <w:t>未提供</w:t>
            </w:r>
            <w:r>
              <w:rPr>
                <w:rFonts w:hint="eastAsia"/>
              </w:rPr>
              <w:t>不得分。</w:t>
            </w:r>
          </w:p>
        </w:tc>
        <w:tc>
          <w:tcPr>
            <w:tcW w:w="1186" w:type="dxa"/>
            <w:vAlign w:val="center"/>
          </w:tcPr>
          <w:p w14:paraId="71F00FD1">
            <w:pPr>
              <w:spacing w:line="360" w:lineRule="auto"/>
              <w:jc w:val="center"/>
              <w:rPr>
                <w:rFonts w:ascii="宋体" w:hAnsi="宋体"/>
                <w:szCs w:val="21"/>
              </w:rPr>
            </w:pPr>
            <w:r>
              <w:rPr>
                <w:rFonts w:hint="eastAsia" w:ascii="宋体" w:hAnsi="宋体"/>
                <w:szCs w:val="21"/>
              </w:rPr>
              <w:t>3</w:t>
            </w:r>
          </w:p>
        </w:tc>
      </w:tr>
      <w:tr w14:paraId="6CA49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14:paraId="6DB81E63">
            <w:pPr>
              <w:pStyle w:val="12"/>
              <w:spacing w:line="360" w:lineRule="auto"/>
              <w:jc w:val="center"/>
              <w:rPr>
                <w:rFonts w:ascii="宋体" w:hAnsi="宋体"/>
                <w:szCs w:val="21"/>
              </w:rPr>
            </w:pPr>
            <w:r>
              <w:rPr>
                <w:rFonts w:hint="eastAsia" w:ascii="宋体" w:hAnsi="宋体"/>
                <w:szCs w:val="21"/>
              </w:rPr>
              <w:t>1-3</w:t>
            </w:r>
          </w:p>
        </w:tc>
        <w:tc>
          <w:tcPr>
            <w:tcW w:w="6840" w:type="dxa"/>
            <w:vAlign w:val="center"/>
          </w:tcPr>
          <w:p w14:paraId="04E4B6CC">
            <w:pPr>
              <w:widowControl/>
              <w:spacing w:line="440" w:lineRule="exact"/>
              <w:jc w:val="left"/>
              <w:rPr>
                <w:rFonts w:ascii="宋体" w:hAnsi="宋体" w:cs="宋体"/>
                <w:kern w:val="0"/>
                <w:szCs w:val="21"/>
              </w:rPr>
            </w:pPr>
            <w:r>
              <w:t>根据各报价人提供的组织架构、岗位设置情况进行评价</w:t>
            </w:r>
            <w:r>
              <w:rPr>
                <w:rFonts w:hint="eastAsia"/>
              </w:rPr>
              <w:t>：</w:t>
            </w:r>
            <w:r>
              <w:t>提供方案得</w:t>
            </w:r>
            <w:r>
              <w:rPr>
                <w:rFonts w:hint="eastAsia"/>
              </w:rPr>
              <w:t>3分，其余不得分。</w:t>
            </w:r>
          </w:p>
        </w:tc>
        <w:tc>
          <w:tcPr>
            <w:tcW w:w="1186" w:type="dxa"/>
            <w:vAlign w:val="center"/>
          </w:tcPr>
          <w:p w14:paraId="0EE16424">
            <w:pPr>
              <w:spacing w:line="360" w:lineRule="auto"/>
              <w:jc w:val="center"/>
              <w:rPr>
                <w:rFonts w:ascii="宋体" w:hAnsi="宋体"/>
                <w:szCs w:val="21"/>
              </w:rPr>
            </w:pPr>
            <w:r>
              <w:rPr>
                <w:rFonts w:hint="eastAsia" w:ascii="宋体" w:hAnsi="宋体"/>
                <w:szCs w:val="21"/>
              </w:rPr>
              <w:t>3</w:t>
            </w:r>
          </w:p>
        </w:tc>
      </w:tr>
      <w:tr w14:paraId="67FF5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14:paraId="61EA2CA0">
            <w:pPr>
              <w:pStyle w:val="12"/>
              <w:spacing w:line="360" w:lineRule="auto"/>
              <w:jc w:val="center"/>
              <w:rPr>
                <w:rFonts w:ascii="宋体" w:hAnsi="宋体"/>
                <w:szCs w:val="21"/>
              </w:rPr>
            </w:pPr>
            <w:r>
              <w:rPr>
                <w:rFonts w:ascii="宋体" w:hAnsi="宋体"/>
                <w:szCs w:val="21"/>
              </w:rPr>
              <w:t>1-4</w:t>
            </w:r>
          </w:p>
        </w:tc>
        <w:tc>
          <w:tcPr>
            <w:tcW w:w="6840" w:type="dxa"/>
            <w:vAlign w:val="center"/>
          </w:tcPr>
          <w:p w14:paraId="1950C06F">
            <w:pPr>
              <w:widowControl/>
              <w:spacing w:line="440" w:lineRule="exact"/>
              <w:jc w:val="left"/>
              <w:rPr>
                <w:rFonts w:ascii="宋体" w:hAnsi="宋体" w:cs="宋体"/>
                <w:kern w:val="0"/>
                <w:szCs w:val="21"/>
              </w:rPr>
            </w:pPr>
            <w:r>
              <w:t>根据各报价人针对本项目提供的“除四害”培训、宣传等实施方案进行评价</w:t>
            </w:r>
            <w:r>
              <w:rPr>
                <w:rFonts w:hint="eastAsia"/>
              </w:rPr>
              <w:t>：</w:t>
            </w:r>
            <w:r>
              <w:t>提供方案得</w:t>
            </w:r>
            <w:r>
              <w:rPr>
                <w:rFonts w:hint="eastAsia"/>
              </w:rPr>
              <w:t>3分，其余不得分。</w:t>
            </w:r>
          </w:p>
        </w:tc>
        <w:tc>
          <w:tcPr>
            <w:tcW w:w="1186" w:type="dxa"/>
            <w:vAlign w:val="center"/>
          </w:tcPr>
          <w:p w14:paraId="148900ED">
            <w:pPr>
              <w:spacing w:line="360" w:lineRule="auto"/>
              <w:jc w:val="center"/>
              <w:rPr>
                <w:rFonts w:ascii="宋体" w:hAnsi="宋体"/>
                <w:szCs w:val="21"/>
              </w:rPr>
            </w:pPr>
            <w:r>
              <w:rPr>
                <w:rFonts w:hint="eastAsia" w:ascii="宋体" w:hAnsi="宋体"/>
                <w:szCs w:val="21"/>
              </w:rPr>
              <w:t>3</w:t>
            </w:r>
          </w:p>
        </w:tc>
      </w:tr>
      <w:tr w14:paraId="17F5F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14:paraId="2E38980E">
            <w:pPr>
              <w:pStyle w:val="12"/>
              <w:spacing w:line="360" w:lineRule="auto"/>
              <w:jc w:val="center"/>
              <w:rPr>
                <w:rFonts w:ascii="宋体" w:hAnsi="宋体"/>
                <w:szCs w:val="21"/>
              </w:rPr>
            </w:pPr>
            <w:r>
              <w:rPr>
                <w:rFonts w:hint="eastAsia" w:ascii="宋体" w:hAnsi="宋体"/>
                <w:szCs w:val="21"/>
              </w:rPr>
              <w:t>1-5</w:t>
            </w:r>
          </w:p>
        </w:tc>
        <w:tc>
          <w:tcPr>
            <w:tcW w:w="6840" w:type="dxa"/>
            <w:vAlign w:val="center"/>
          </w:tcPr>
          <w:p w14:paraId="7BC0E945">
            <w:pPr>
              <w:widowControl/>
              <w:spacing w:line="440" w:lineRule="exact"/>
              <w:jc w:val="left"/>
              <w:rPr>
                <w:rFonts w:ascii="宋体" w:hAnsi="宋体" w:cs="宋体"/>
                <w:kern w:val="0"/>
                <w:szCs w:val="21"/>
              </w:rPr>
            </w:pPr>
            <w:r>
              <w:t>根据各报价人针对本项目提供的在自然灾害、停水、停电、疫情爆发等情况下的应急预备方案，进行评价</w:t>
            </w:r>
            <w:r>
              <w:rPr>
                <w:rFonts w:hint="eastAsia"/>
              </w:rPr>
              <w:t>：</w:t>
            </w:r>
            <w:r>
              <w:t>提供方案得</w:t>
            </w:r>
            <w:r>
              <w:rPr>
                <w:rFonts w:hint="eastAsia"/>
              </w:rPr>
              <w:t>3分，其余不得分。</w:t>
            </w:r>
          </w:p>
        </w:tc>
        <w:tc>
          <w:tcPr>
            <w:tcW w:w="1186" w:type="dxa"/>
            <w:vAlign w:val="center"/>
          </w:tcPr>
          <w:p w14:paraId="2C72C09E">
            <w:pPr>
              <w:spacing w:line="360" w:lineRule="auto"/>
              <w:jc w:val="center"/>
              <w:rPr>
                <w:rFonts w:ascii="宋体" w:hAnsi="宋体"/>
                <w:szCs w:val="21"/>
              </w:rPr>
            </w:pPr>
            <w:r>
              <w:rPr>
                <w:rFonts w:hint="eastAsia" w:ascii="宋体" w:hAnsi="宋体"/>
                <w:szCs w:val="21"/>
              </w:rPr>
              <w:t>3</w:t>
            </w:r>
          </w:p>
        </w:tc>
      </w:tr>
      <w:tr w14:paraId="336F3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14:paraId="2A4CC7FF">
            <w:pPr>
              <w:pStyle w:val="12"/>
              <w:spacing w:line="360" w:lineRule="auto"/>
              <w:jc w:val="center"/>
              <w:rPr>
                <w:rFonts w:ascii="宋体" w:hAnsi="宋体"/>
                <w:szCs w:val="21"/>
              </w:rPr>
            </w:pPr>
            <w:r>
              <w:rPr>
                <w:rFonts w:hint="eastAsia" w:ascii="宋体" w:hAnsi="宋体"/>
                <w:szCs w:val="21"/>
              </w:rPr>
              <w:t>1-6</w:t>
            </w:r>
          </w:p>
        </w:tc>
        <w:tc>
          <w:tcPr>
            <w:tcW w:w="6840" w:type="dxa"/>
            <w:vAlign w:val="center"/>
          </w:tcPr>
          <w:p w14:paraId="5305B2C7">
            <w:pPr>
              <w:widowControl/>
              <w:spacing w:line="440" w:lineRule="exact"/>
              <w:jc w:val="left"/>
              <w:rPr>
                <w:rFonts w:ascii="宋体" w:hAnsi="宋体" w:cs="宋体"/>
                <w:kern w:val="0"/>
                <w:szCs w:val="21"/>
              </w:rPr>
            </w:pPr>
            <w:r>
              <w:t>根据各报价人拟投入自有车辆</w:t>
            </w:r>
            <w:r>
              <w:rPr>
                <w:rFonts w:hint="eastAsia"/>
                <w:lang w:val="en-US" w:eastAsia="zh-CN"/>
              </w:rPr>
              <w:t>1台</w:t>
            </w:r>
            <w:r>
              <w:t>的得</w:t>
            </w:r>
            <w:r>
              <w:rPr>
                <w:rFonts w:hint="eastAsia"/>
                <w:lang w:val="en-US" w:eastAsia="zh-CN"/>
              </w:rPr>
              <w:t>1</w:t>
            </w:r>
            <w:r>
              <w:t>分</w:t>
            </w:r>
            <w:r>
              <w:rPr>
                <w:rFonts w:hint="eastAsia"/>
                <w:lang w:eastAsia="zh-CN"/>
              </w:rPr>
              <w:t>，</w:t>
            </w:r>
            <w:r>
              <w:t>须提供</w:t>
            </w:r>
            <w:r>
              <w:rPr>
                <w:rFonts w:hint="eastAsia"/>
                <w:lang w:val="en-US" w:eastAsia="zh-CN"/>
              </w:rPr>
              <w:t>供应商的</w:t>
            </w:r>
            <w:r>
              <w:t>行驶证、登记证及购车发票，</w:t>
            </w:r>
            <w:r>
              <w:rPr>
                <w:rFonts w:hint="eastAsia"/>
                <w:lang w:val="en-US" w:eastAsia="zh-CN"/>
              </w:rPr>
              <w:t>租赁的需提供租赁合同及行驶证，</w:t>
            </w:r>
            <w:r>
              <w:t>未提供或提供不全的不得分</w:t>
            </w:r>
            <w:r>
              <w:rPr>
                <w:rFonts w:hint="eastAsia"/>
                <w:lang w:eastAsia="zh-CN"/>
              </w:rPr>
              <w:t>，</w:t>
            </w:r>
            <w:r>
              <w:rPr>
                <w:rFonts w:hint="eastAsia"/>
                <w:lang w:val="en-US" w:eastAsia="zh-CN"/>
              </w:rPr>
              <w:t>满分3分。</w:t>
            </w:r>
          </w:p>
        </w:tc>
        <w:tc>
          <w:tcPr>
            <w:tcW w:w="1186" w:type="dxa"/>
            <w:vAlign w:val="center"/>
          </w:tcPr>
          <w:p w14:paraId="2363EDDC">
            <w:pPr>
              <w:spacing w:line="360" w:lineRule="auto"/>
              <w:jc w:val="center"/>
              <w:rPr>
                <w:rFonts w:ascii="宋体" w:hAnsi="宋体"/>
                <w:szCs w:val="21"/>
              </w:rPr>
            </w:pPr>
            <w:r>
              <w:rPr>
                <w:rFonts w:hint="eastAsia" w:ascii="宋体" w:hAnsi="宋体"/>
                <w:szCs w:val="21"/>
              </w:rPr>
              <w:t>3</w:t>
            </w:r>
          </w:p>
        </w:tc>
      </w:tr>
      <w:tr w14:paraId="4D274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14:paraId="769663C7">
            <w:pPr>
              <w:pStyle w:val="12"/>
              <w:spacing w:line="360" w:lineRule="auto"/>
              <w:jc w:val="center"/>
              <w:rPr>
                <w:rFonts w:ascii="宋体" w:hAnsi="宋体"/>
                <w:szCs w:val="21"/>
              </w:rPr>
            </w:pPr>
            <w:r>
              <w:rPr>
                <w:rFonts w:hint="eastAsia" w:ascii="宋体" w:hAnsi="宋体"/>
                <w:szCs w:val="21"/>
              </w:rPr>
              <w:t>1-7</w:t>
            </w:r>
          </w:p>
        </w:tc>
        <w:tc>
          <w:tcPr>
            <w:tcW w:w="6840" w:type="dxa"/>
            <w:vAlign w:val="center"/>
          </w:tcPr>
          <w:p w14:paraId="6B305480">
            <w:pPr>
              <w:widowControl/>
              <w:spacing w:line="440" w:lineRule="exact"/>
              <w:jc w:val="left"/>
              <w:rPr>
                <w:rFonts w:ascii="宋体" w:hAnsi="宋体" w:cs="宋体"/>
                <w:kern w:val="0"/>
                <w:szCs w:val="21"/>
              </w:rPr>
            </w:pPr>
            <w:r>
              <w:t>根据各报价人提供的现场施工文明作业情况方案进行评价</w:t>
            </w:r>
            <w:r>
              <w:rPr>
                <w:rFonts w:hint="eastAsia"/>
              </w:rPr>
              <w:t>：</w:t>
            </w:r>
            <w:r>
              <w:t>提供方案得</w:t>
            </w:r>
            <w:r>
              <w:rPr>
                <w:rFonts w:hint="eastAsia"/>
              </w:rPr>
              <w:t>3分，其余不得分。</w:t>
            </w:r>
          </w:p>
        </w:tc>
        <w:tc>
          <w:tcPr>
            <w:tcW w:w="1186" w:type="dxa"/>
            <w:vAlign w:val="center"/>
          </w:tcPr>
          <w:p w14:paraId="25B763D9">
            <w:pPr>
              <w:spacing w:line="360" w:lineRule="auto"/>
              <w:jc w:val="center"/>
              <w:rPr>
                <w:rFonts w:ascii="宋体" w:hAnsi="宋体"/>
                <w:szCs w:val="21"/>
              </w:rPr>
            </w:pPr>
            <w:r>
              <w:rPr>
                <w:rFonts w:hint="eastAsia" w:ascii="宋体" w:hAnsi="宋体"/>
                <w:szCs w:val="21"/>
              </w:rPr>
              <w:t>3</w:t>
            </w:r>
          </w:p>
        </w:tc>
      </w:tr>
      <w:tr w14:paraId="0073B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14:paraId="109A8E82">
            <w:pPr>
              <w:pStyle w:val="12"/>
              <w:spacing w:line="360" w:lineRule="auto"/>
              <w:jc w:val="center"/>
              <w:rPr>
                <w:rFonts w:ascii="宋体" w:hAnsi="宋体"/>
                <w:szCs w:val="21"/>
              </w:rPr>
            </w:pPr>
            <w:r>
              <w:rPr>
                <w:rFonts w:hint="eastAsia" w:ascii="宋体" w:hAnsi="宋体"/>
                <w:szCs w:val="21"/>
              </w:rPr>
              <w:t>1-8</w:t>
            </w:r>
          </w:p>
        </w:tc>
        <w:tc>
          <w:tcPr>
            <w:tcW w:w="6840" w:type="dxa"/>
            <w:vAlign w:val="center"/>
          </w:tcPr>
          <w:p w14:paraId="4B613CB1">
            <w:pPr>
              <w:widowControl/>
              <w:spacing w:line="440" w:lineRule="exact"/>
              <w:jc w:val="left"/>
              <w:rPr>
                <w:rFonts w:ascii="宋体" w:hAnsi="宋体" w:cs="宋体"/>
                <w:kern w:val="0"/>
                <w:szCs w:val="21"/>
              </w:rPr>
            </w:pPr>
            <w:r>
              <w:t>根据各报价人</w:t>
            </w:r>
            <w:r>
              <w:rPr>
                <w:rFonts w:hint="eastAsia"/>
                <w:lang w:val="en-US" w:eastAsia="zh-CN"/>
              </w:rPr>
              <w:t>提供的消杀人员个人防护方案进行评价：</w:t>
            </w:r>
            <w:r>
              <w:t>提供方案得</w:t>
            </w:r>
            <w:r>
              <w:rPr>
                <w:rFonts w:hint="eastAsia"/>
              </w:rPr>
              <w:t>3分，其余不得分。</w:t>
            </w:r>
          </w:p>
        </w:tc>
        <w:tc>
          <w:tcPr>
            <w:tcW w:w="1186" w:type="dxa"/>
            <w:vAlign w:val="center"/>
          </w:tcPr>
          <w:p w14:paraId="19F8152F">
            <w:pPr>
              <w:spacing w:line="360" w:lineRule="auto"/>
              <w:jc w:val="center"/>
              <w:rPr>
                <w:rFonts w:ascii="宋体" w:hAnsi="宋体"/>
                <w:szCs w:val="21"/>
              </w:rPr>
            </w:pPr>
            <w:r>
              <w:rPr>
                <w:rFonts w:hint="eastAsia" w:ascii="宋体" w:hAnsi="宋体"/>
                <w:szCs w:val="21"/>
              </w:rPr>
              <w:t>3</w:t>
            </w:r>
          </w:p>
        </w:tc>
      </w:tr>
      <w:tr w14:paraId="6D3C0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14:paraId="50288E9D">
            <w:pPr>
              <w:pStyle w:val="12"/>
              <w:spacing w:line="360" w:lineRule="auto"/>
              <w:jc w:val="center"/>
              <w:rPr>
                <w:rFonts w:ascii="宋体" w:hAnsi="宋体"/>
                <w:szCs w:val="21"/>
              </w:rPr>
            </w:pPr>
            <w:r>
              <w:rPr>
                <w:rFonts w:hint="eastAsia" w:ascii="宋体" w:hAnsi="宋体"/>
                <w:szCs w:val="21"/>
              </w:rPr>
              <w:t>1-9</w:t>
            </w:r>
          </w:p>
        </w:tc>
        <w:tc>
          <w:tcPr>
            <w:tcW w:w="6840" w:type="dxa"/>
            <w:vAlign w:val="center"/>
          </w:tcPr>
          <w:p w14:paraId="516B5AD4">
            <w:pPr>
              <w:widowControl/>
              <w:spacing w:line="440" w:lineRule="exact"/>
              <w:jc w:val="left"/>
              <w:rPr>
                <w:rFonts w:ascii="宋体" w:hAnsi="宋体" w:cs="宋体"/>
                <w:kern w:val="0"/>
                <w:szCs w:val="21"/>
              </w:rPr>
            </w:pPr>
            <w:r>
              <w:t>根据各报价人提供的</w:t>
            </w:r>
            <w:r>
              <w:rPr>
                <w:rFonts w:hint="eastAsia"/>
                <w:lang w:val="en-US" w:eastAsia="zh-CN"/>
              </w:rPr>
              <w:t>消杀改进措施、解决方案进行评价</w:t>
            </w:r>
            <w:r>
              <w:t>提供方案得</w:t>
            </w:r>
            <w:r>
              <w:rPr>
                <w:rFonts w:hint="eastAsia"/>
              </w:rPr>
              <w:t>3分，其余不得分。</w:t>
            </w:r>
          </w:p>
        </w:tc>
        <w:tc>
          <w:tcPr>
            <w:tcW w:w="1186" w:type="dxa"/>
            <w:vAlign w:val="center"/>
          </w:tcPr>
          <w:p w14:paraId="23FC3005">
            <w:pPr>
              <w:spacing w:line="360" w:lineRule="auto"/>
              <w:jc w:val="center"/>
              <w:rPr>
                <w:rFonts w:ascii="宋体" w:hAnsi="宋体"/>
                <w:szCs w:val="21"/>
              </w:rPr>
            </w:pPr>
            <w:r>
              <w:rPr>
                <w:rFonts w:hint="eastAsia" w:ascii="宋体" w:hAnsi="宋体"/>
                <w:szCs w:val="21"/>
              </w:rPr>
              <w:t>3</w:t>
            </w:r>
          </w:p>
        </w:tc>
      </w:tr>
      <w:tr w14:paraId="398DF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14:paraId="593C873A">
            <w:pPr>
              <w:pStyle w:val="12"/>
              <w:spacing w:line="360" w:lineRule="auto"/>
              <w:jc w:val="center"/>
              <w:rPr>
                <w:rFonts w:ascii="宋体" w:hAnsi="宋体"/>
                <w:szCs w:val="21"/>
              </w:rPr>
            </w:pPr>
            <w:r>
              <w:rPr>
                <w:rFonts w:hint="eastAsia" w:ascii="宋体" w:hAnsi="宋体"/>
                <w:szCs w:val="21"/>
              </w:rPr>
              <w:t>1-10</w:t>
            </w:r>
          </w:p>
        </w:tc>
        <w:tc>
          <w:tcPr>
            <w:tcW w:w="6840" w:type="dxa"/>
            <w:vAlign w:val="center"/>
          </w:tcPr>
          <w:p w14:paraId="223F2BAC">
            <w:pPr>
              <w:widowControl/>
              <w:spacing w:line="440" w:lineRule="exact"/>
              <w:jc w:val="left"/>
              <w:rPr>
                <w:rFonts w:ascii="宋体" w:hAnsi="宋体" w:cs="宋体"/>
                <w:kern w:val="0"/>
                <w:szCs w:val="21"/>
              </w:rPr>
            </w:pPr>
            <w:r>
              <w:rPr>
                <w:color w:val="000000" w:themeColor="text1"/>
                <w14:textFill>
                  <w14:solidFill>
                    <w14:schemeClr w14:val="tx1"/>
                  </w14:solidFill>
                </w14:textFill>
              </w:rPr>
              <w:t>根据各报价人</w:t>
            </w:r>
            <w:r>
              <w:rPr>
                <w:rFonts w:hint="eastAsia"/>
                <w:color w:val="000000" w:themeColor="text1"/>
                <w:lang w:val="en-US" w:eastAsia="zh-CN"/>
                <w14:textFill>
                  <w14:solidFill>
                    <w14:schemeClr w14:val="tx1"/>
                  </w14:solidFill>
                </w14:textFill>
              </w:rPr>
              <w:t>提供的消杀人员临时短缺，人员应急补充预案进行评价；</w:t>
            </w:r>
            <w:r>
              <w:t>提供方案得</w:t>
            </w:r>
            <w:r>
              <w:rPr>
                <w:rFonts w:hint="eastAsia"/>
              </w:rPr>
              <w:t>3分，其余不得分。</w:t>
            </w:r>
          </w:p>
        </w:tc>
        <w:tc>
          <w:tcPr>
            <w:tcW w:w="1186" w:type="dxa"/>
            <w:vAlign w:val="center"/>
          </w:tcPr>
          <w:p w14:paraId="7A942CB7">
            <w:pPr>
              <w:spacing w:line="360" w:lineRule="auto"/>
              <w:jc w:val="center"/>
              <w:rPr>
                <w:rFonts w:ascii="宋体" w:hAnsi="宋体"/>
                <w:szCs w:val="21"/>
              </w:rPr>
            </w:pPr>
            <w:r>
              <w:rPr>
                <w:rFonts w:hint="eastAsia" w:ascii="宋体" w:hAnsi="宋体"/>
                <w:szCs w:val="21"/>
              </w:rPr>
              <w:t>3</w:t>
            </w:r>
          </w:p>
        </w:tc>
      </w:tr>
      <w:tr w14:paraId="5A49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14:paraId="7F8EC975">
            <w:pPr>
              <w:pStyle w:val="12"/>
              <w:spacing w:line="360" w:lineRule="auto"/>
              <w:jc w:val="center"/>
              <w:rPr>
                <w:rFonts w:ascii="宋体" w:hAnsi="宋体"/>
                <w:szCs w:val="21"/>
              </w:rPr>
            </w:pPr>
            <w:r>
              <w:rPr>
                <w:rFonts w:hint="eastAsia" w:ascii="宋体" w:hAnsi="宋体"/>
                <w:szCs w:val="21"/>
              </w:rPr>
              <w:t>1-11</w:t>
            </w:r>
          </w:p>
        </w:tc>
        <w:tc>
          <w:tcPr>
            <w:tcW w:w="6840" w:type="dxa"/>
            <w:vAlign w:val="center"/>
          </w:tcPr>
          <w:p w14:paraId="534F158E">
            <w:pPr>
              <w:widowControl/>
              <w:spacing w:line="440" w:lineRule="exact"/>
              <w:jc w:val="left"/>
              <w:rPr>
                <w:rFonts w:ascii="宋体" w:hAnsi="宋体" w:cs="宋体"/>
                <w:kern w:val="0"/>
                <w:szCs w:val="21"/>
              </w:rPr>
            </w:pPr>
            <w:r>
              <w:t>根据各报价人拟投入本项目提供的热烟雾机</w:t>
            </w:r>
            <w:r>
              <w:rPr>
                <w:rFonts w:hint="eastAsia"/>
                <w:lang w:val="en-US" w:eastAsia="zh-CN"/>
              </w:rPr>
              <w:t>进行评价</w:t>
            </w:r>
            <w:r>
              <w:t>，</w:t>
            </w:r>
            <w:r>
              <w:rPr>
                <w:rFonts w:hint="eastAsia"/>
                <w:lang w:val="en-US" w:eastAsia="zh-CN"/>
              </w:rPr>
              <w:t>提供</w:t>
            </w:r>
            <w:r>
              <w:rPr>
                <w:rFonts w:hint="eastAsia"/>
              </w:rPr>
              <w:t>1</w:t>
            </w:r>
            <w:r>
              <w:t>台得1分，</w:t>
            </w:r>
            <w:r>
              <w:rPr>
                <w:rFonts w:hint="eastAsia"/>
              </w:rPr>
              <w:t>2台得2分，3台得3</w:t>
            </w:r>
            <w:r>
              <w:t>分，须提供设备图片及报价人自行购置的发票，未提供或提供不全的不得分。</w:t>
            </w:r>
          </w:p>
        </w:tc>
        <w:tc>
          <w:tcPr>
            <w:tcW w:w="1186" w:type="dxa"/>
            <w:vAlign w:val="center"/>
          </w:tcPr>
          <w:p w14:paraId="361F1198">
            <w:pPr>
              <w:spacing w:line="360" w:lineRule="auto"/>
              <w:jc w:val="center"/>
              <w:rPr>
                <w:rFonts w:ascii="宋体" w:hAnsi="宋体"/>
                <w:szCs w:val="21"/>
              </w:rPr>
            </w:pPr>
            <w:r>
              <w:rPr>
                <w:rFonts w:hint="eastAsia" w:ascii="宋体" w:hAnsi="宋体"/>
                <w:szCs w:val="21"/>
              </w:rPr>
              <w:t>3</w:t>
            </w:r>
          </w:p>
        </w:tc>
      </w:tr>
      <w:tr w14:paraId="17982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14:paraId="3B6E396C">
            <w:pPr>
              <w:pStyle w:val="12"/>
              <w:spacing w:line="360" w:lineRule="auto"/>
              <w:jc w:val="center"/>
              <w:rPr>
                <w:rFonts w:ascii="宋体" w:hAnsi="宋体"/>
                <w:szCs w:val="21"/>
              </w:rPr>
            </w:pPr>
            <w:r>
              <w:rPr>
                <w:rFonts w:hint="eastAsia" w:ascii="宋体" w:hAnsi="宋体"/>
                <w:szCs w:val="21"/>
              </w:rPr>
              <w:t>1-12</w:t>
            </w:r>
          </w:p>
        </w:tc>
        <w:tc>
          <w:tcPr>
            <w:tcW w:w="6840" w:type="dxa"/>
            <w:vAlign w:val="center"/>
          </w:tcPr>
          <w:p w14:paraId="7D7A9A1A">
            <w:pPr>
              <w:widowControl/>
              <w:spacing w:line="440" w:lineRule="exact"/>
              <w:jc w:val="left"/>
              <w:rPr>
                <w:rFonts w:ascii="宋体" w:hAnsi="宋体" w:cs="宋体"/>
                <w:kern w:val="0"/>
                <w:szCs w:val="21"/>
              </w:rPr>
            </w:pPr>
            <w:r>
              <w:t>根据各报价人拟投入本项目提供</w:t>
            </w:r>
            <w:r>
              <w:rPr>
                <w:rFonts w:hint="eastAsia"/>
                <w:lang w:val="en-US" w:eastAsia="zh-CN"/>
              </w:rPr>
              <w:t>的</w:t>
            </w:r>
            <w:r>
              <w:t>手推式喷雾器</w:t>
            </w:r>
            <w:r>
              <w:rPr>
                <w:rFonts w:hint="eastAsia"/>
                <w:lang w:val="en-US" w:eastAsia="zh-CN"/>
              </w:rPr>
              <w:t>进行评价</w:t>
            </w:r>
            <w:r>
              <w:t>，</w:t>
            </w:r>
            <w:r>
              <w:rPr>
                <w:rFonts w:hint="eastAsia"/>
                <w:lang w:val="en-US" w:eastAsia="zh-CN"/>
              </w:rPr>
              <w:t>提供</w:t>
            </w:r>
            <w:r>
              <w:rPr>
                <w:rFonts w:hint="eastAsia"/>
              </w:rPr>
              <w:t>1</w:t>
            </w:r>
            <w:r>
              <w:t>台得1分，</w:t>
            </w:r>
            <w:r>
              <w:rPr>
                <w:rFonts w:hint="eastAsia"/>
              </w:rPr>
              <w:t>2台得2分，3台得3</w:t>
            </w:r>
            <w:r>
              <w:t>分，须提供设备图片及报价人自行购置的发票，未提供或提供不全的不得分。</w:t>
            </w:r>
          </w:p>
        </w:tc>
        <w:tc>
          <w:tcPr>
            <w:tcW w:w="1186" w:type="dxa"/>
            <w:vAlign w:val="center"/>
          </w:tcPr>
          <w:p w14:paraId="5D2EA61B">
            <w:pPr>
              <w:spacing w:line="360" w:lineRule="auto"/>
              <w:jc w:val="center"/>
              <w:rPr>
                <w:rFonts w:ascii="宋体" w:hAnsi="宋体"/>
                <w:szCs w:val="21"/>
              </w:rPr>
            </w:pPr>
            <w:r>
              <w:rPr>
                <w:rFonts w:hint="eastAsia" w:ascii="宋体" w:hAnsi="宋体"/>
                <w:szCs w:val="21"/>
              </w:rPr>
              <w:t>3</w:t>
            </w:r>
          </w:p>
        </w:tc>
      </w:tr>
      <w:tr w14:paraId="76821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14:paraId="2EF9A452">
            <w:pPr>
              <w:pStyle w:val="12"/>
              <w:spacing w:line="360" w:lineRule="auto"/>
              <w:jc w:val="center"/>
              <w:rPr>
                <w:rFonts w:ascii="宋体" w:hAnsi="宋体"/>
                <w:szCs w:val="21"/>
              </w:rPr>
            </w:pPr>
            <w:r>
              <w:rPr>
                <w:rFonts w:hint="eastAsia" w:ascii="宋体" w:hAnsi="宋体"/>
                <w:szCs w:val="21"/>
              </w:rPr>
              <w:t>1-13</w:t>
            </w:r>
          </w:p>
        </w:tc>
        <w:tc>
          <w:tcPr>
            <w:tcW w:w="6840" w:type="dxa"/>
            <w:vAlign w:val="center"/>
          </w:tcPr>
          <w:p w14:paraId="72E50F36">
            <w:pPr>
              <w:widowControl/>
              <w:spacing w:line="440" w:lineRule="exact"/>
              <w:jc w:val="left"/>
              <w:rPr>
                <w:rFonts w:ascii="宋体" w:hAnsi="宋体" w:cs="宋体"/>
                <w:kern w:val="0"/>
                <w:szCs w:val="21"/>
              </w:rPr>
            </w:pPr>
            <w:r>
              <w:t>根据各报价人提供背负式电动超低容量喷雾器</w:t>
            </w:r>
            <w:r>
              <w:rPr>
                <w:rFonts w:hint="eastAsia"/>
                <w:lang w:val="en-US" w:eastAsia="zh-CN"/>
              </w:rPr>
              <w:t>进行评价</w:t>
            </w:r>
            <w:r>
              <w:t>，</w:t>
            </w:r>
            <w:r>
              <w:rPr>
                <w:rFonts w:hint="eastAsia"/>
                <w:lang w:val="en-US" w:eastAsia="zh-CN"/>
              </w:rPr>
              <w:t>提供1台得1分，</w:t>
            </w:r>
            <w:r>
              <w:rPr>
                <w:rFonts w:hint="eastAsia"/>
              </w:rPr>
              <w:t>2台得2分，3台得3</w:t>
            </w:r>
            <w:r>
              <w:t>分，须提供设备图片及报价人自行购置的发票，未提供或提供不全的不得分。</w:t>
            </w:r>
          </w:p>
        </w:tc>
        <w:tc>
          <w:tcPr>
            <w:tcW w:w="1186" w:type="dxa"/>
            <w:vAlign w:val="center"/>
          </w:tcPr>
          <w:p w14:paraId="3F18B2A4">
            <w:pPr>
              <w:spacing w:line="360" w:lineRule="auto"/>
              <w:jc w:val="center"/>
              <w:rPr>
                <w:rFonts w:ascii="宋体" w:hAnsi="宋体"/>
                <w:szCs w:val="21"/>
              </w:rPr>
            </w:pPr>
            <w:r>
              <w:rPr>
                <w:rFonts w:hint="eastAsia" w:ascii="宋体" w:hAnsi="宋体"/>
                <w:szCs w:val="21"/>
              </w:rPr>
              <w:t>3</w:t>
            </w:r>
          </w:p>
        </w:tc>
      </w:tr>
      <w:tr w14:paraId="650AF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14:paraId="4F0002EF">
            <w:pPr>
              <w:pStyle w:val="12"/>
              <w:spacing w:line="360" w:lineRule="auto"/>
              <w:jc w:val="center"/>
              <w:rPr>
                <w:rFonts w:ascii="宋体" w:hAnsi="宋体"/>
                <w:szCs w:val="21"/>
              </w:rPr>
            </w:pPr>
            <w:r>
              <w:rPr>
                <w:rFonts w:hint="eastAsia" w:ascii="宋体" w:hAnsi="宋体"/>
                <w:szCs w:val="21"/>
              </w:rPr>
              <w:t>1-14</w:t>
            </w:r>
          </w:p>
        </w:tc>
        <w:tc>
          <w:tcPr>
            <w:tcW w:w="6840" w:type="dxa"/>
            <w:vAlign w:val="center"/>
          </w:tcPr>
          <w:p w14:paraId="29444811">
            <w:pPr>
              <w:widowControl/>
              <w:spacing w:line="440" w:lineRule="exact"/>
              <w:jc w:val="left"/>
              <w:rPr>
                <w:rFonts w:ascii="宋体" w:hAnsi="宋体" w:cs="宋体"/>
                <w:kern w:val="0"/>
                <w:szCs w:val="21"/>
              </w:rPr>
            </w:pPr>
            <w:r>
              <w:t>根据各报价人拟投入本项目的服务人员中，配备</w:t>
            </w:r>
            <w:r>
              <w:rPr>
                <w:rFonts w:hint="eastAsia" w:ascii="宋体" w:hAnsi="宋体" w:eastAsia="宋体" w:cs="宋体"/>
              </w:rPr>
              <w:t>≧</w:t>
            </w:r>
            <w:r>
              <w:rPr>
                <w:rFonts w:hint="eastAsia" w:eastAsia="宋体"/>
                <w:lang w:val="en-US" w:eastAsia="zh-CN"/>
              </w:rPr>
              <w:t>3</w:t>
            </w:r>
            <w:r>
              <w:t>名具有国家级有害生物防治员人员的得</w:t>
            </w:r>
            <w:r>
              <w:rPr>
                <w:rFonts w:hint="eastAsia"/>
                <w:lang w:val="en-US" w:eastAsia="zh-CN"/>
              </w:rPr>
              <w:t>3</w:t>
            </w:r>
            <w:r>
              <w:t>分，配备</w:t>
            </w:r>
            <w:r>
              <w:rPr>
                <w:rFonts w:hint="eastAsia"/>
                <w:lang w:val="en-US" w:eastAsia="zh-CN"/>
              </w:rPr>
              <w:t>2</w:t>
            </w:r>
            <w:r>
              <w:rPr>
                <w:rFonts w:hint="eastAsia"/>
              </w:rPr>
              <w:t>名</w:t>
            </w:r>
            <w:r>
              <w:rPr>
                <w:rFonts w:hint="eastAsia"/>
                <w:lang w:val="en-US" w:eastAsia="zh-CN"/>
              </w:rPr>
              <w:t>得2分，</w:t>
            </w:r>
            <w:r>
              <w:t>配备</w:t>
            </w:r>
            <w:r>
              <w:rPr>
                <w:rFonts w:hint="eastAsia"/>
                <w:lang w:val="en-US" w:eastAsia="zh-CN"/>
              </w:rPr>
              <w:t>1</w:t>
            </w:r>
            <w:r>
              <w:rPr>
                <w:rFonts w:hint="eastAsia"/>
              </w:rPr>
              <w:t>名</w:t>
            </w:r>
            <w:r>
              <w:rPr>
                <w:rFonts w:hint="eastAsia"/>
                <w:lang w:val="en-US" w:eastAsia="zh-CN"/>
              </w:rPr>
              <w:t>得1分，</w:t>
            </w:r>
            <w:r>
              <w:t xml:space="preserve">未提供不得分。【须提供证书复印件及投标截止时间前6个月中任一个月的社保证明材料（社保缴交单位须与报价人一致），未提供或提供不全的不得分。】 </w:t>
            </w:r>
          </w:p>
        </w:tc>
        <w:tc>
          <w:tcPr>
            <w:tcW w:w="1186" w:type="dxa"/>
            <w:vAlign w:val="center"/>
          </w:tcPr>
          <w:p w14:paraId="2ED6C68E">
            <w:pPr>
              <w:spacing w:line="360" w:lineRule="auto"/>
              <w:jc w:val="center"/>
              <w:rPr>
                <w:rFonts w:ascii="宋体" w:hAnsi="宋体"/>
                <w:szCs w:val="21"/>
              </w:rPr>
            </w:pPr>
            <w:r>
              <w:rPr>
                <w:rFonts w:hint="eastAsia" w:ascii="宋体" w:hAnsi="宋体"/>
                <w:szCs w:val="21"/>
              </w:rPr>
              <w:t>3</w:t>
            </w:r>
          </w:p>
        </w:tc>
      </w:tr>
      <w:tr w14:paraId="2AD49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782" w:type="dxa"/>
            <w:vAlign w:val="center"/>
          </w:tcPr>
          <w:p w14:paraId="4D99FA6B">
            <w:pPr>
              <w:pStyle w:val="12"/>
              <w:spacing w:line="360" w:lineRule="auto"/>
              <w:jc w:val="center"/>
              <w:rPr>
                <w:rFonts w:hint="eastAsia" w:ascii="宋体" w:hAnsi="宋体"/>
                <w:szCs w:val="21"/>
              </w:rPr>
            </w:pPr>
            <w:r>
              <w:rPr>
                <w:rFonts w:hint="eastAsia" w:ascii="宋体" w:hAnsi="宋体"/>
                <w:szCs w:val="21"/>
              </w:rPr>
              <w:t>1-15</w:t>
            </w:r>
          </w:p>
        </w:tc>
        <w:tc>
          <w:tcPr>
            <w:tcW w:w="6840" w:type="dxa"/>
            <w:vAlign w:val="center"/>
          </w:tcPr>
          <w:p w14:paraId="3F713A78">
            <w:pPr>
              <w:widowControl/>
              <w:spacing w:line="440" w:lineRule="exact"/>
              <w:jc w:val="left"/>
              <w:rPr>
                <w:rFonts w:ascii="宋体" w:hAnsi="宋体" w:cs="宋体"/>
                <w:kern w:val="0"/>
                <w:szCs w:val="21"/>
              </w:rPr>
            </w:pPr>
            <w:r>
              <w:t>根据各报价人针对本项目工作人员所配备的个人防护措施及装备情况方案进行评价</w:t>
            </w:r>
            <w:r>
              <w:rPr>
                <w:rFonts w:hint="eastAsia"/>
              </w:rPr>
              <w:t>：</w:t>
            </w:r>
            <w:r>
              <w:t>提供方案得</w:t>
            </w:r>
            <w:r>
              <w:rPr>
                <w:rFonts w:hint="eastAsia"/>
              </w:rPr>
              <w:t xml:space="preserve">3分，其余不得分。 </w:t>
            </w:r>
          </w:p>
        </w:tc>
        <w:tc>
          <w:tcPr>
            <w:tcW w:w="1186" w:type="dxa"/>
            <w:vAlign w:val="center"/>
          </w:tcPr>
          <w:p w14:paraId="3A028B11">
            <w:pPr>
              <w:spacing w:line="360" w:lineRule="auto"/>
              <w:jc w:val="center"/>
              <w:rPr>
                <w:rFonts w:hint="eastAsia" w:ascii="宋体" w:hAnsi="宋体"/>
                <w:szCs w:val="21"/>
              </w:rPr>
            </w:pPr>
            <w:r>
              <w:rPr>
                <w:rFonts w:hint="eastAsia" w:ascii="宋体" w:hAnsi="宋体"/>
                <w:szCs w:val="21"/>
              </w:rPr>
              <w:t>3</w:t>
            </w:r>
          </w:p>
        </w:tc>
      </w:tr>
      <w:tr w14:paraId="024E4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0" w:hRule="atLeast"/>
          <w:jc w:val="center"/>
        </w:trPr>
        <w:tc>
          <w:tcPr>
            <w:tcW w:w="782" w:type="dxa"/>
            <w:vAlign w:val="center"/>
          </w:tcPr>
          <w:p w14:paraId="20F762CD">
            <w:pPr>
              <w:pStyle w:val="12"/>
              <w:spacing w:line="360" w:lineRule="auto"/>
              <w:jc w:val="center"/>
              <w:rPr>
                <w:rFonts w:hint="default" w:ascii="宋体" w:hAnsi="宋体" w:eastAsia="宋体"/>
                <w:szCs w:val="21"/>
                <w:lang w:val="en-US" w:eastAsia="zh-CN"/>
              </w:rPr>
            </w:pPr>
            <w:r>
              <w:rPr>
                <w:rFonts w:hint="eastAsia" w:ascii="宋体" w:hAnsi="宋体"/>
                <w:szCs w:val="21"/>
                <w:lang w:val="en-US" w:eastAsia="zh-CN"/>
              </w:rPr>
              <w:t>1-16</w:t>
            </w:r>
          </w:p>
        </w:tc>
        <w:tc>
          <w:tcPr>
            <w:tcW w:w="6840" w:type="dxa"/>
            <w:vAlign w:val="center"/>
          </w:tcPr>
          <w:p w14:paraId="30E48EA2">
            <w:pPr>
              <w:widowControl/>
              <w:spacing w:line="440" w:lineRule="exact"/>
              <w:jc w:val="left"/>
              <w:rPr>
                <w:rFonts w:hint="default" w:eastAsiaTheme="minorEastAsia"/>
                <w:lang w:val="en-US" w:eastAsia="zh-CN"/>
              </w:rPr>
            </w:pPr>
            <w:r>
              <w:rPr>
                <w:rFonts w:hint="eastAsia"/>
                <w:highlight w:val="none"/>
                <w:lang w:val="en-US" w:eastAsia="zh-CN"/>
              </w:rPr>
              <w:t>针对本项目负责人必须具备本科及以上学历，具有良好的沟通、交流管理能力。</w:t>
            </w:r>
            <w:r>
              <w:rPr>
                <w:rFonts w:hint="eastAsia"/>
                <w:lang w:val="en-US" w:eastAsia="zh-CN"/>
              </w:rPr>
              <w:t>具备有害生物防治员证，需提供相关证书复印件及供应商为其缴纳的近三个月的社保证明并加盖供应商公章佐证的得3分，需提供证明文件，未提供不得分。</w:t>
            </w:r>
          </w:p>
        </w:tc>
        <w:tc>
          <w:tcPr>
            <w:tcW w:w="1186" w:type="dxa"/>
            <w:vAlign w:val="center"/>
          </w:tcPr>
          <w:p w14:paraId="63348EB1">
            <w:pPr>
              <w:spacing w:line="360" w:lineRule="auto"/>
              <w:jc w:val="center"/>
              <w:rPr>
                <w:rFonts w:hint="eastAsia" w:ascii="宋体" w:hAnsi="宋体" w:eastAsiaTheme="minorEastAsia"/>
                <w:szCs w:val="21"/>
                <w:lang w:val="en-US" w:eastAsia="zh-CN"/>
              </w:rPr>
            </w:pPr>
            <w:r>
              <w:rPr>
                <w:rFonts w:hint="eastAsia" w:ascii="宋体" w:hAnsi="宋体"/>
                <w:szCs w:val="21"/>
                <w:lang w:val="en-US" w:eastAsia="zh-CN"/>
              </w:rPr>
              <w:t>3</w:t>
            </w:r>
          </w:p>
        </w:tc>
      </w:tr>
      <w:tr w14:paraId="74A9D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0" w:hRule="atLeast"/>
          <w:jc w:val="center"/>
        </w:trPr>
        <w:tc>
          <w:tcPr>
            <w:tcW w:w="782" w:type="dxa"/>
            <w:vAlign w:val="center"/>
          </w:tcPr>
          <w:p w14:paraId="21A270CE">
            <w:pPr>
              <w:pStyle w:val="12"/>
              <w:spacing w:line="360" w:lineRule="auto"/>
              <w:jc w:val="center"/>
              <w:rPr>
                <w:rFonts w:hint="default" w:ascii="宋体" w:hAnsi="宋体" w:eastAsia="宋体"/>
                <w:szCs w:val="21"/>
                <w:lang w:val="en-US" w:eastAsia="zh-CN"/>
              </w:rPr>
            </w:pPr>
            <w:r>
              <w:rPr>
                <w:rFonts w:hint="eastAsia" w:ascii="宋体" w:hAnsi="宋体"/>
                <w:szCs w:val="21"/>
                <w:lang w:val="en-US" w:eastAsia="zh-CN"/>
              </w:rPr>
              <w:t>1-17</w:t>
            </w:r>
          </w:p>
        </w:tc>
        <w:tc>
          <w:tcPr>
            <w:tcW w:w="6840" w:type="dxa"/>
            <w:vAlign w:val="center"/>
          </w:tcPr>
          <w:p w14:paraId="577C4908">
            <w:pPr>
              <w:widowControl/>
              <w:spacing w:line="440" w:lineRule="exact"/>
              <w:jc w:val="left"/>
              <w:rPr>
                <w:rFonts w:hint="default" w:eastAsiaTheme="minorEastAsia"/>
                <w:lang w:val="en-US" w:eastAsia="zh-CN"/>
              </w:rPr>
            </w:pPr>
            <w:r>
              <w:rPr>
                <w:rFonts w:hint="eastAsia"/>
                <w:lang w:val="en-US" w:eastAsia="zh-CN"/>
              </w:rPr>
              <w:t>根据报价人提供的所使用药品的图片、农药登记证、农药生产许可证、产品标准号、产品质量检测报告的得3分，未提供不得分。</w:t>
            </w:r>
          </w:p>
        </w:tc>
        <w:tc>
          <w:tcPr>
            <w:tcW w:w="1186" w:type="dxa"/>
            <w:vAlign w:val="center"/>
          </w:tcPr>
          <w:p w14:paraId="5BBFC719">
            <w:pPr>
              <w:spacing w:line="360" w:lineRule="auto"/>
              <w:jc w:val="center"/>
              <w:rPr>
                <w:rFonts w:hint="eastAsia" w:ascii="宋体" w:hAnsi="宋体" w:eastAsiaTheme="minorEastAsia"/>
                <w:szCs w:val="21"/>
                <w:lang w:val="en-US" w:eastAsia="zh-CN"/>
              </w:rPr>
            </w:pPr>
            <w:r>
              <w:rPr>
                <w:rFonts w:hint="eastAsia" w:ascii="宋体" w:hAnsi="宋体"/>
                <w:szCs w:val="21"/>
                <w:lang w:val="en-US" w:eastAsia="zh-CN"/>
              </w:rPr>
              <w:t>3</w:t>
            </w:r>
          </w:p>
        </w:tc>
      </w:tr>
      <w:tr w14:paraId="6F555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782" w:type="dxa"/>
            <w:vAlign w:val="center"/>
          </w:tcPr>
          <w:p w14:paraId="2A27F2CB">
            <w:pPr>
              <w:pStyle w:val="12"/>
              <w:spacing w:line="360" w:lineRule="auto"/>
              <w:jc w:val="center"/>
              <w:rPr>
                <w:rFonts w:hint="default" w:ascii="宋体" w:hAnsi="宋体" w:eastAsia="宋体"/>
                <w:szCs w:val="21"/>
                <w:lang w:val="en-US" w:eastAsia="zh-CN"/>
              </w:rPr>
            </w:pPr>
            <w:r>
              <w:rPr>
                <w:rFonts w:hint="eastAsia" w:ascii="宋体" w:hAnsi="宋体"/>
                <w:szCs w:val="21"/>
                <w:lang w:val="en-US" w:eastAsia="zh-CN"/>
              </w:rPr>
              <w:t>1-18</w:t>
            </w:r>
          </w:p>
        </w:tc>
        <w:tc>
          <w:tcPr>
            <w:tcW w:w="6840" w:type="dxa"/>
            <w:vAlign w:val="center"/>
          </w:tcPr>
          <w:p w14:paraId="4242E700">
            <w:pPr>
              <w:widowControl/>
              <w:spacing w:line="440" w:lineRule="exact"/>
              <w:jc w:val="left"/>
              <w:rPr>
                <w:rFonts w:hint="default" w:eastAsiaTheme="minorEastAsia"/>
                <w:lang w:val="en-US" w:eastAsia="zh-CN"/>
              </w:rPr>
            </w:pPr>
            <w:r>
              <w:rPr>
                <w:rFonts w:hint="eastAsia"/>
                <w:lang w:val="en-US" w:eastAsia="zh-CN"/>
              </w:rPr>
              <w:t>根据报价人提供工资发放比例（即发给员工的工资占服务费的比例）情况评价，发放比例最低为75%，没增加1%的加1分，满分3分。</w:t>
            </w:r>
          </w:p>
        </w:tc>
        <w:tc>
          <w:tcPr>
            <w:tcW w:w="1186" w:type="dxa"/>
            <w:vAlign w:val="center"/>
          </w:tcPr>
          <w:p w14:paraId="24E6276E">
            <w:pPr>
              <w:spacing w:line="360" w:lineRule="auto"/>
              <w:jc w:val="center"/>
              <w:rPr>
                <w:rFonts w:hint="eastAsia" w:ascii="宋体" w:hAnsi="宋体" w:eastAsiaTheme="minorEastAsia"/>
                <w:szCs w:val="21"/>
                <w:lang w:val="en-US" w:eastAsia="zh-CN"/>
              </w:rPr>
            </w:pPr>
            <w:r>
              <w:rPr>
                <w:rFonts w:hint="eastAsia" w:ascii="宋体" w:hAnsi="宋体"/>
                <w:szCs w:val="21"/>
                <w:lang w:val="en-US" w:eastAsia="zh-CN"/>
              </w:rPr>
              <w:t>3</w:t>
            </w:r>
          </w:p>
        </w:tc>
      </w:tr>
      <w:tr w14:paraId="64F21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0" w:hRule="atLeast"/>
          <w:jc w:val="center"/>
        </w:trPr>
        <w:tc>
          <w:tcPr>
            <w:tcW w:w="782" w:type="dxa"/>
            <w:vAlign w:val="center"/>
          </w:tcPr>
          <w:p w14:paraId="4FB086C3">
            <w:pPr>
              <w:pStyle w:val="12"/>
              <w:spacing w:line="360" w:lineRule="auto"/>
              <w:jc w:val="center"/>
              <w:rPr>
                <w:rFonts w:hint="default" w:ascii="宋体" w:hAnsi="宋体" w:eastAsia="宋体"/>
                <w:szCs w:val="21"/>
                <w:lang w:val="en-US" w:eastAsia="zh-CN"/>
              </w:rPr>
            </w:pPr>
            <w:r>
              <w:rPr>
                <w:rFonts w:hint="eastAsia" w:ascii="宋体" w:hAnsi="宋体"/>
                <w:szCs w:val="21"/>
                <w:lang w:val="en-US" w:eastAsia="zh-CN"/>
              </w:rPr>
              <w:t>1-19</w:t>
            </w:r>
          </w:p>
        </w:tc>
        <w:tc>
          <w:tcPr>
            <w:tcW w:w="6840" w:type="dxa"/>
            <w:vAlign w:val="center"/>
          </w:tcPr>
          <w:p w14:paraId="0C9F849D">
            <w:pPr>
              <w:widowControl/>
              <w:spacing w:line="440" w:lineRule="exact"/>
              <w:jc w:val="left"/>
              <w:rPr>
                <w:rFonts w:hint="default" w:eastAsiaTheme="minorEastAsia"/>
                <w:lang w:val="en-US" w:eastAsia="zh-CN"/>
              </w:rPr>
            </w:pPr>
            <w:r>
              <w:rPr>
                <w:rFonts w:hint="eastAsia"/>
                <w:lang w:val="en-US" w:eastAsia="zh-CN"/>
              </w:rPr>
              <w:t>根据报价人提供的药品管理制度进行评价：药品管理制度规范、具备专门存放仓库的得3分，制度较简单但基本符合要求得1.5分，未提供的不得分。仓库需提供现场照片、产权证明或租赁合同，否则不得分。</w:t>
            </w:r>
          </w:p>
        </w:tc>
        <w:tc>
          <w:tcPr>
            <w:tcW w:w="1186" w:type="dxa"/>
            <w:vAlign w:val="center"/>
          </w:tcPr>
          <w:p w14:paraId="064CE72D">
            <w:pPr>
              <w:spacing w:line="360" w:lineRule="auto"/>
              <w:jc w:val="center"/>
              <w:rPr>
                <w:rFonts w:hint="eastAsia" w:ascii="宋体" w:hAnsi="宋体" w:eastAsiaTheme="minorEastAsia"/>
                <w:szCs w:val="21"/>
                <w:lang w:val="en-US" w:eastAsia="zh-CN"/>
              </w:rPr>
            </w:pPr>
            <w:r>
              <w:rPr>
                <w:rFonts w:hint="eastAsia" w:ascii="宋体" w:hAnsi="宋体"/>
                <w:szCs w:val="21"/>
                <w:lang w:val="en-US" w:eastAsia="zh-CN"/>
              </w:rPr>
              <w:t>3</w:t>
            </w:r>
          </w:p>
        </w:tc>
      </w:tr>
      <w:tr w14:paraId="6EC57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71" w:hRule="atLeast"/>
          <w:jc w:val="center"/>
        </w:trPr>
        <w:tc>
          <w:tcPr>
            <w:tcW w:w="782" w:type="dxa"/>
            <w:vAlign w:val="center"/>
          </w:tcPr>
          <w:p w14:paraId="3782ADAE">
            <w:pPr>
              <w:pStyle w:val="12"/>
              <w:spacing w:line="360" w:lineRule="auto"/>
              <w:jc w:val="center"/>
              <w:rPr>
                <w:rFonts w:hint="default" w:ascii="宋体" w:hAnsi="宋体"/>
                <w:szCs w:val="21"/>
                <w:lang w:val="en-US" w:eastAsia="zh-CN"/>
              </w:rPr>
            </w:pPr>
            <w:r>
              <w:rPr>
                <w:rFonts w:hint="eastAsia" w:ascii="宋体" w:hAnsi="宋体"/>
                <w:szCs w:val="21"/>
                <w:lang w:val="en-US" w:eastAsia="zh-CN"/>
              </w:rPr>
              <w:t>1-20</w:t>
            </w:r>
          </w:p>
        </w:tc>
        <w:tc>
          <w:tcPr>
            <w:tcW w:w="6840" w:type="dxa"/>
            <w:vAlign w:val="center"/>
          </w:tcPr>
          <w:p w14:paraId="6F358943">
            <w:pPr>
              <w:widowControl/>
              <w:spacing w:line="440" w:lineRule="exact"/>
              <w:ind w:left="0" w:leftChars="0"/>
              <w:jc w:val="left"/>
              <w:rPr>
                <w:rFonts w:hint="default"/>
                <w:lang w:val="en-US" w:eastAsia="zh-CN"/>
              </w:rPr>
            </w:pPr>
            <w:r>
              <w:rPr>
                <w:rFonts w:hint="eastAsia"/>
                <w:lang w:val="en-US" w:eastAsia="zh-CN"/>
              </w:rPr>
              <w:t>根据报价人提供工作开展的关键点及难点：方案具有详细、具体、明确包含以上所有内容得3分；基本符合项目实际情况，方案描述较为简单、要点基本齐全得2分;方案基本符合项目实际情况但不详尽的得1分；方案不科学、条理不清晰或不切合实际、或不符合招标要求或未提供的均不得分。</w:t>
            </w:r>
          </w:p>
        </w:tc>
        <w:tc>
          <w:tcPr>
            <w:tcW w:w="1186" w:type="dxa"/>
            <w:vAlign w:val="center"/>
          </w:tcPr>
          <w:p w14:paraId="3356C7D4">
            <w:pPr>
              <w:spacing w:line="360" w:lineRule="auto"/>
              <w:jc w:val="center"/>
              <w:rPr>
                <w:rFonts w:hint="default" w:ascii="宋体" w:hAnsi="宋体"/>
                <w:szCs w:val="21"/>
                <w:lang w:val="en-US" w:eastAsia="zh-CN"/>
              </w:rPr>
            </w:pPr>
            <w:r>
              <w:rPr>
                <w:rFonts w:hint="eastAsia" w:ascii="宋体" w:hAnsi="宋体"/>
                <w:szCs w:val="21"/>
                <w:lang w:val="en-US" w:eastAsia="zh-CN"/>
              </w:rPr>
              <w:t>3</w:t>
            </w:r>
          </w:p>
        </w:tc>
      </w:tr>
      <w:tr w14:paraId="1FE2E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2" w:hRule="atLeast"/>
          <w:jc w:val="center"/>
        </w:trPr>
        <w:tc>
          <w:tcPr>
            <w:tcW w:w="782" w:type="dxa"/>
            <w:vAlign w:val="center"/>
          </w:tcPr>
          <w:p w14:paraId="63A9B9BA">
            <w:pPr>
              <w:pStyle w:val="12"/>
              <w:spacing w:line="360" w:lineRule="auto"/>
              <w:jc w:val="center"/>
              <w:rPr>
                <w:rFonts w:hint="default" w:ascii="宋体" w:hAnsi="宋体"/>
                <w:szCs w:val="21"/>
                <w:lang w:val="en-US" w:eastAsia="zh-CN"/>
              </w:rPr>
            </w:pPr>
            <w:r>
              <w:rPr>
                <w:rFonts w:hint="eastAsia" w:ascii="宋体" w:hAnsi="宋体"/>
                <w:szCs w:val="21"/>
                <w:lang w:val="en-US" w:eastAsia="zh-CN"/>
              </w:rPr>
              <w:t>1-21</w:t>
            </w:r>
          </w:p>
        </w:tc>
        <w:tc>
          <w:tcPr>
            <w:tcW w:w="6840" w:type="dxa"/>
            <w:vAlign w:val="center"/>
          </w:tcPr>
          <w:p w14:paraId="4B79B664">
            <w:pPr>
              <w:widowControl/>
              <w:spacing w:line="440" w:lineRule="exact"/>
              <w:jc w:val="left"/>
              <w:rPr>
                <w:rFonts w:hint="default"/>
                <w:lang w:val="en-US" w:eastAsia="zh-CN"/>
              </w:rPr>
            </w:pPr>
            <w:r>
              <w:rPr>
                <w:rFonts w:hint="eastAsia"/>
                <w:lang w:val="en-US" w:eastAsia="zh-CN"/>
              </w:rPr>
              <w:t>报价人承诺在服务过程中对业主设备设施造成损坏需进行相应赔偿的得2分；报价人需对此做出承诺并加盖报价人公章。</w:t>
            </w:r>
          </w:p>
        </w:tc>
        <w:tc>
          <w:tcPr>
            <w:tcW w:w="1186" w:type="dxa"/>
            <w:vAlign w:val="center"/>
          </w:tcPr>
          <w:p w14:paraId="17478324">
            <w:pPr>
              <w:spacing w:line="360" w:lineRule="auto"/>
              <w:jc w:val="center"/>
              <w:rPr>
                <w:rFonts w:hint="default" w:ascii="宋体" w:hAnsi="宋体"/>
                <w:szCs w:val="21"/>
                <w:lang w:val="en-US" w:eastAsia="zh-CN"/>
              </w:rPr>
            </w:pPr>
            <w:r>
              <w:rPr>
                <w:rFonts w:hint="eastAsia" w:ascii="宋体" w:hAnsi="宋体"/>
                <w:szCs w:val="21"/>
                <w:lang w:val="en-US" w:eastAsia="zh-CN"/>
              </w:rPr>
              <w:t>2</w:t>
            </w:r>
          </w:p>
        </w:tc>
      </w:tr>
      <w:tr w14:paraId="233F5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0" w:hRule="atLeast"/>
          <w:jc w:val="center"/>
        </w:trPr>
        <w:tc>
          <w:tcPr>
            <w:tcW w:w="782" w:type="dxa"/>
            <w:vAlign w:val="center"/>
          </w:tcPr>
          <w:p w14:paraId="5E35E675">
            <w:pPr>
              <w:pStyle w:val="12"/>
              <w:spacing w:line="360" w:lineRule="auto"/>
              <w:jc w:val="center"/>
              <w:rPr>
                <w:rFonts w:hint="default" w:ascii="宋体" w:hAnsi="宋体"/>
                <w:szCs w:val="21"/>
                <w:lang w:val="en-US" w:eastAsia="zh-CN"/>
              </w:rPr>
            </w:pPr>
            <w:r>
              <w:rPr>
                <w:rFonts w:hint="eastAsia" w:ascii="宋体" w:hAnsi="宋体"/>
                <w:szCs w:val="21"/>
                <w:lang w:val="en-US" w:eastAsia="zh-CN"/>
              </w:rPr>
              <w:t>1-22</w:t>
            </w:r>
          </w:p>
        </w:tc>
        <w:tc>
          <w:tcPr>
            <w:tcW w:w="6840" w:type="dxa"/>
            <w:vAlign w:val="center"/>
          </w:tcPr>
          <w:p w14:paraId="2C4AC1B0">
            <w:pPr>
              <w:widowControl/>
              <w:spacing w:line="440" w:lineRule="exact"/>
              <w:jc w:val="left"/>
              <w:rPr>
                <w:rFonts w:hint="default"/>
                <w:lang w:val="en-US" w:eastAsia="zh-CN"/>
              </w:rPr>
            </w:pPr>
            <w:r>
              <w:rPr>
                <w:rFonts w:hint="eastAsia"/>
                <w:lang w:val="en-US" w:eastAsia="zh-CN"/>
              </w:rPr>
              <w:t>根据报价人提供消杀作业过程突发事件，消杀人员处理应急预案：方案具有详细、具体、明确包含以上所有内容得3分；基本符合项目实际情况，方案描述较为简单、要点基本齐全得2分；方案基本符合项目实际情况的但不详尽的得1分；方案不科学、条理不清晰或不切合实际、或不符合招标要求或未提供的均不得分。</w:t>
            </w:r>
          </w:p>
        </w:tc>
        <w:tc>
          <w:tcPr>
            <w:tcW w:w="1186" w:type="dxa"/>
            <w:vAlign w:val="center"/>
          </w:tcPr>
          <w:p w14:paraId="6A7503AD">
            <w:pPr>
              <w:spacing w:line="360" w:lineRule="auto"/>
              <w:jc w:val="center"/>
              <w:rPr>
                <w:rFonts w:hint="default" w:ascii="宋体" w:hAnsi="宋体"/>
                <w:szCs w:val="21"/>
                <w:lang w:val="en-US" w:eastAsia="zh-CN"/>
              </w:rPr>
            </w:pPr>
            <w:r>
              <w:rPr>
                <w:rFonts w:hint="eastAsia" w:ascii="宋体" w:hAnsi="宋体"/>
                <w:szCs w:val="21"/>
                <w:lang w:val="en-US" w:eastAsia="zh-CN"/>
              </w:rPr>
              <w:t>3</w:t>
            </w:r>
          </w:p>
        </w:tc>
      </w:tr>
      <w:tr w14:paraId="193EB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8808" w:type="dxa"/>
            <w:gridSpan w:val="3"/>
            <w:vAlign w:val="center"/>
          </w:tcPr>
          <w:p w14:paraId="62374573">
            <w:pPr>
              <w:spacing w:line="360" w:lineRule="auto"/>
              <w:ind w:firstLine="420" w:firstLineChars="200"/>
              <w:jc w:val="left"/>
              <w:outlineLvl w:val="0"/>
              <w:rPr>
                <w:rFonts w:ascii="宋体" w:hAnsi="宋体"/>
                <w:szCs w:val="21"/>
              </w:rPr>
            </w:pPr>
            <w:r>
              <w:rPr>
                <w:rFonts w:hint="eastAsia" w:ascii="宋体" w:hAnsi="宋体"/>
                <w:szCs w:val="21"/>
              </w:rPr>
              <w:t>说明：</w:t>
            </w:r>
            <w:r>
              <w:rPr>
                <w:rFonts w:hint="eastAsia" w:ascii="宋体" w:hAnsi="宋体" w:cs="宋体"/>
                <w:kern w:val="0"/>
                <w:szCs w:val="21"/>
              </w:rPr>
              <w:t>报价人应提供证明材料并标注对应关系，未按要求提供证明材料的，认定该项技术指标不得分；报价人</w:t>
            </w:r>
            <w:r>
              <w:rPr>
                <w:rFonts w:hint="eastAsia" w:ascii="宋体" w:hAnsi="宋体"/>
                <w:szCs w:val="21"/>
              </w:rPr>
              <w:t>应如实表述其服务的技术指标，如</w:t>
            </w:r>
            <w:r>
              <w:rPr>
                <w:rFonts w:hint="eastAsia" w:ascii="宋体" w:hAnsi="宋体" w:cs="宋体"/>
                <w:kern w:val="0"/>
                <w:szCs w:val="21"/>
              </w:rPr>
              <w:t>报价人</w:t>
            </w:r>
            <w:r>
              <w:rPr>
                <w:rFonts w:hint="eastAsia" w:ascii="宋体" w:hAnsi="宋体"/>
                <w:szCs w:val="21"/>
              </w:rPr>
              <w:t>复制采购文件的磋商内容作为其报价文件组成内容的，磋商小组将对其作出不利的评审。</w:t>
            </w:r>
          </w:p>
          <w:p w14:paraId="5B34386D">
            <w:pPr>
              <w:spacing w:line="360" w:lineRule="auto"/>
              <w:ind w:firstLine="420" w:firstLineChars="200"/>
              <w:jc w:val="left"/>
              <w:outlineLvl w:val="0"/>
              <w:rPr>
                <w:rFonts w:ascii="宋体" w:hAnsi="宋体"/>
                <w:szCs w:val="21"/>
              </w:rPr>
            </w:pPr>
          </w:p>
        </w:tc>
      </w:tr>
    </w:tbl>
    <w:p w14:paraId="587676C6">
      <w:pPr>
        <w:pStyle w:val="3"/>
        <w:keepNext w:val="0"/>
        <w:keepLines w:val="0"/>
        <w:tabs>
          <w:tab w:val="center" w:pos="4365"/>
        </w:tabs>
        <w:spacing w:before="0" w:after="0" w:line="360" w:lineRule="auto"/>
        <w:rPr>
          <w:rFonts w:ascii="宋体" w:hAnsi="宋体" w:eastAsia="宋体"/>
          <w:sz w:val="24"/>
          <w:szCs w:val="24"/>
        </w:rPr>
      </w:pPr>
    </w:p>
    <w:p w14:paraId="735C7523">
      <w:pPr>
        <w:pStyle w:val="4"/>
        <w:snapToGrid w:val="0"/>
        <w:spacing w:line="360" w:lineRule="auto"/>
        <w:ind w:firstLine="0"/>
        <w:rPr>
          <w:b/>
          <w:sz w:val="24"/>
          <w:szCs w:val="24"/>
        </w:rPr>
      </w:pPr>
      <w:r>
        <w:rPr>
          <w:rFonts w:hint="eastAsia"/>
          <w:b/>
          <w:sz w:val="24"/>
          <w:szCs w:val="24"/>
        </w:rPr>
        <w:t>（二）商务评分（F2）标准（满分</w:t>
      </w:r>
      <w:r>
        <w:rPr>
          <w:rFonts w:hint="eastAsia"/>
          <w:b/>
          <w:sz w:val="24"/>
          <w:szCs w:val="24"/>
          <w:lang w:val="en-US" w:eastAsia="zh-CN"/>
        </w:rPr>
        <w:t>20</w:t>
      </w:r>
      <w:r>
        <w:rPr>
          <w:rFonts w:hint="eastAsia"/>
          <w:b/>
          <w:sz w:val="24"/>
          <w:szCs w:val="24"/>
        </w:rPr>
        <w:t>分）：</w:t>
      </w:r>
    </w:p>
    <w:tbl>
      <w:tblPr>
        <w:tblStyle w:val="7"/>
        <w:tblW w:w="88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6971"/>
        <w:gridCol w:w="1130"/>
      </w:tblGrid>
      <w:tr w14:paraId="34003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07" w:type="dxa"/>
            <w:vAlign w:val="center"/>
          </w:tcPr>
          <w:p w14:paraId="3D60953B">
            <w:pPr>
              <w:pStyle w:val="13"/>
              <w:spacing w:line="360" w:lineRule="auto"/>
              <w:jc w:val="left"/>
              <w:rPr>
                <w:rFonts w:ascii="宋体" w:hAnsi="宋体"/>
                <w:b w:val="0"/>
                <w:kern w:val="2"/>
                <w:sz w:val="21"/>
                <w:szCs w:val="21"/>
              </w:rPr>
            </w:pPr>
            <w:r>
              <w:rPr>
                <w:rFonts w:hint="eastAsia" w:ascii="宋体" w:hAnsi="宋体"/>
                <w:b w:val="0"/>
                <w:kern w:val="2"/>
                <w:sz w:val="21"/>
                <w:szCs w:val="21"/>
              </w:rPr>
              <w:t>序号</w:t>
            </w:r>
          </w:p>
        </w:tc>
        <w:tc>
          <w:tcPr>
            <w:tcW w:w="6971" w:type="dxa"/>
            <w:vAlign w:val="center"/>
          </w:tcPr>
          <w:p w14:paraId="536FA518">
            <w:pPr>
              <w:pStyle w:val="13"/>
              <w:spacing w:line="360" w:lineRule="auto"/>
              <w:jc w:val="left"/>
              <w:rPr>
                <w:rFonts w:ascii="宋体" w:hAnsi="宋体"/>
                <w:b w:val="0"/>
                <w:kern w:val="2"/>
                <w:sz w:val="21"/>
                <w:szCs w:val="21"/>
              </w:rPr>
            </w:pPr>
            <w:r>
              <w:rPr>
                <w:rFonts w:hint="eastAsia" w:ascii="宋体" w:hAnsi="宋体"/>
                <w:b w:val="0"/>
                <w:kern w:val="2"/>
                <w:sz w:val="21"/>
                <w:szCs w:val="21"/>
              </w:rPr>
              <w:t>评分界定</w:t>
            </w:r>
          </w:p>
        </w:tc>
        <w:tc>
          <w:tcPr>
            <w:tcW w:w="1130" w:type="dxa"/>
            <w:vAlign w:val="center"/>
          </w:tcPr>
          <w:p w14:paraId="0FEB3E8A">
            <w:pPr>
              <w:pStyle w:val="13"/>
              <w:spacing w:line="360" w:lineRule="auto"/>
              <w:jc w:val="left"/>
              <w:rPr>
                <w:rFonts w:ascii="宋体" w:hAnsi="宋体"/>
                <w:b w:val="0"/>
                <w:kern w:val="2"/>
                <w:sz w:val="21"/>
                <w:szCs w:val="21"/>
              </w:rPr>
            </w:pPr>
            <w:r>
              <w:rPr>
                <w:rFonts w:hint="eastAsia" w:ascii="宋体" w:hAnsi="宋体"/>
                <w:b w:val="0"/>
                <w:kern w:val="2"/>
                <w:sz w:val="21"/>
                <w:szCs w:val="21"/>
              </w:rPr>
              <w:t>满分分值</w:t>
            </w:r>
          </w:p>
        </w:tc>
      </w:tr>
      <w:tr w14:paraId="491BF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07" w:type="dxa"/>
            <w:vAlign w:val="center"/>
          </w:tcPr>
          <w:p w14:paraId="7171BEA6">
            <w:pPr>
              <w:pStyle w:val="13"/>
              <w:spacing w:line="360" w:lineRule="auto"/>
              <w:jc w:val="center"/>
              <w:rPr>
                <w:rFonts w:ascii="宋体" w:hAnsi="宋体"/>
                <w:b w:val="0"/>
                <w:kern w:val="2"/>
                <w:sz w:val="21"/>
                <w:szCs w:val="21"/>
              </w:rPr>
            </w:pPr>
            <w:r>
              <w:rPr>
                <w:rFonts w:hint="eastAsia" w:ascii="宋体" w:hAnsi="宋体"/>
                <w:b w:val="0"/>
                <w:kern w:val="2"/>
                <w:sz w:val="21"/>
                <w:szCs w:val="21"/>
              </w:rPr>
              <w:t>1</w:t>
            </w:r>
          </w:p>
        </w:tc>
        <w:tc>
          <w:tcPr>
            <w:tcW w:w="6971" w:type="dxa"/>
            <w:vAlign w:val="center"/>
          </w:tcPr>
          <w:p w14:paraId="4EB266C5">
            <w:pPr>
              <w:pStyle w:val="13"/>
              <w:spacing w:line="360" w:lineRule="auto"/>
              <w:jc w:val="left"/>
              <w:rPr>
                <w:rFonts w:ascii="宋体" w:hAnsi="宋体"/>
                <w:b w:val="0"/>
                <w:bCs/>
                <w:kern w:val="2"/>
                <w:sz w:val="21"/>
                <w:szCs w:val="21"/>
              </w:rPr>
            </w:pPr>
            <w:r>
              <w:rPr>
                <w:rFonts w:hint="eastAsia" w:ascii="宋体" w:hAnsi="宋体"/>
                <w:b w:val="0"/>
                <w:bCs/>
                <w:sz w:val="21"/>
                <w:szCs w:val="21"/>
              </w:rPr>
              <w:t>根据报价人提供类似项目的定点服务对象好评数量进行评价：提供一家单位得1分，二家得2分，三家得3分。</w:t>
            </w:r>
          </w:p>
        </w:tc>
        <w:tc>
          <w:tcPr>
            <w:tcW w:w="1130" w:type="dxa"/>
            <w:vAlign w:val="center"/>
          </w:tcPr>
          <w:p w14:paraId="5CBCA8EB">
            <w:pPr>
              <w:pStyle w:val="13"/>
              <w:spacing w:line="360" w:lineRule="auto"/>
              <w:rPr>
                <w:rFonts w:ascii="宋体" w:hAnsi="宋体"/>
                <w:b w:val="0"/>
                <w:kern w:val="2"/>
                <w:sz w:val="21"/>
                <w:szCs w:val="21"/>
              </w:rPr>
            </w:pPr>
            <w:r>
              <w:rPr>
                <w:rFonts w:hint="eastAsia" w:ascii="宋体" w:hAnsi="宋体"/>
                <w:b w:val="0"/>
                <w:kern w:val="2"/>
                <w:sz w:val="21"/>
                <w:szCs w:val="21"/>
              </w:rPr>
              <w:t>3</w:t>
            </w:r>
          </w:p>
        </w:tc>
      </w:tr>
      <w:tr w14:paraId="4B4C4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07" w:type="dxa"/>
            <w:vAlign w:val="center"/>
          </w:tcPr>
          <w:p w14:paraId="19083FBF">
            <w:pPr>
              <w:pStyle w:val="13"/>
              <w:spacing w:line="360" w:lineRule="auto"/>
              <w:rPr>
                <w:rFonts w:ascii="宋体" w:hAnsi="宋体"/>
                <w:b w:val="0"/>
                <w:kern w:val="2"/>
                <w:sz w:val="21"/>
                <w:szCs w:val="21"/>
              </w:rPr>
            </w:pPr>
            <w:r>
              <w:rPr>
                <w:rFonts w:hint="eastAsia" w:ascii="宋体" w:hAnsi="宋体"/>
                <w:b w:val="0"/>
                <w:kern w:val="2"/>
                <w:sz w:val="21"/>
                <w:szCs w:val="21"/>
              </w:rPr>
              <w:t>2</w:t>
            </w:r>
          </w:p>
        </w:tc>
        <w:tc>
          <w:tcPr>
            <w:tcW w:w="6971" w:type="dxa"/>
            <w:vAlign w:val="center"/>
          </w:tcPr>
          <w:p w14:paraId="3EE84A69">
            <w:pPr>
              <w:widowControl/>
              <w:spacing w:line="440" w:lineRule="exact"/>
              <w:jc w:val="left"/>
              <w:rPr>
                <w:rFonts w:ascii="宋体" w:hAnsi="宋体" w:cs="宋体"/>
                <w:b/>
                <w:bCs/>
                <w:kern w:val="0"/>
                <w:szCs w:val="21"/>
              </w:rPr>
            </w:pPr>
            <w:r>
              <w:rPr>
                <w:rFonts w:hint="eastAsia" w:ascii="宋体" w:hAnsi="宋体"/>
                <w:szCs w:val="21"/>
              </w:rPr>
              <w:t>报价人获得行政主管部门</w:t>
            </w:r>
            <w:r>
              <w:rPr>
                <w:rFonts w:hint="eastAsia" w:ascii="宋体" w:hAnsi="宋体"/>
                <w:szCs w:val="21"/>
                <w:lang w:val="en-US" w:eastAsia="zh-CN"/>
              </w:rPr>
              <w:t>颁发的除四害备案证书的得1</w:t>
            </w:r>
            <w:r>
              <w:rPr>
                <w:rFonts w:hint="eastAsia" w:ascii="宋体" w:hAnsi="宋体"/>
                <w:szCs w:val="21"/>
              </w:rPr>
              <w:t>分，未提供有效证明材料的不得分。</w:t>
            </w:r>
          </w:p>
        </w:tc>
        <w:tc>
          <w:tcPr>
            <w:tcW w:w="1130" w:type="dxa"/>
            <w:vAlign w:val="center"/>
          </w:tcPr>
          <w:p w14:paraId="497521B2">
            <w:pPr>
              <w:pStyle w:val="13"/>
              <w:spacing w:line="360" w:lineRule="auto"/>
              <w:rPr>
                <w:rFonts w:hint="default" w:ascii="宋体" w:hAnsi="宋体" w:eastAsia="宋体"/>
                <w:b w:val="0"/>
                <w:kern w:val="2"/>
                <w:sz w:val="21"/>
                <w:szCs w:val="21"/>
                <w:lang w:val="en-US" w:eastAsia="zh-CN"/>
              </w:rPr>
            </w:pPr>
            <w:r>
              <w:rPr>
                <w:rFonts w:hint="eastAsia" w:ascii="宋体" w:hAnsi="宋体"/>
                <w:b w:val="0"/>
                <w:kern w:val="2"/>
                <w:sz w:val="21"/>
                <w:szCs w:val="21"/>
                <w:lang w:val="en-US" w:eastAsia="zh-CN"/>
              </w:rPr>
              <w:t>1</w:t>
            </w:r>
          </w:p>
        </w:tc>
      </w:tr>
      <w:tr w14:paraId="44C8E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07" w:type="dxa"/>
            <w:vAlign w:val="center"/>
          </w:tcPr>
          <w:p w14:paraId="743DA8D6">
            <w:pPr>
              <w:pStyle w:val="13"/>
              <w:spacing w:line="360" w:lineRule="auto"/>
              <w:rPr>
                <w:rFonts w:ascii="宋体" w:hAnsi="宋体"/>
                <w:b w:val="0"/>
                <w:kern w:val="2"/>
                <w:sz w:val="21"/>
                <w:szCs w:val="21"/>
              </w:rPr>
            </w:pPr>
            <w:r>
              <w:rPr>
                <w:rFonts w:hint="eastAsia" w:ascii="宋体" w:hAnsi="宋体"/>
                <w:b w:val="0"/>
                <w:kern w:val="2"/>
                <w:sz w:val="21"/>
                <w:szCs w:val="21"/>
              </w:rPr>
              <w:t>3</w:t>
            </w:r>
          </w:p>
        </w:tc>
        <w:tc>
          <w:tcPr>
            <w:tcW w:w="6971" w:type="dxa"/>
            <w:vAlign w:val="center"/>
          </w:tcPr>
          <w:p w14:paraId="0DFA43F1">
            <w:pPr>
              <w:widowControl/>
              <w:spacing w:line="440" w:lineRule="exact"/>
              <w:jc w:val="left"/>
              <w:rPr>
                <w:rFonts w:ascii="宋体" w:hAnsi="宋体"/>
                <w:szCs w:val="21"/>
              </w:rPr>
            </w:pPr>
            <w:r>
              <w:rPr>
                <w:rFonts w:hint="eastAsia" w:ascii="宋体" w:hAnsi="宋体"/>
                <w:szCs w:val="21"/>
              </w:rPr>
              <w:t>根据报价人企业的管理制度、财务制度、档案管理制度及其配套制度的完整、规范、全面等进行评价，提供制度完整规范全面的得</w:t>
            </w:r>
            <w:r>
              <w:rPr>
                <w:rFonts w:hint="eastAsia" w:ascii="宋体" w:hAnsi="宋体"/>
                <w:szCs w:val="21"/>
                <w:lang w:val="en-US" w:eastAsia="zh-CN"/>
              </w:rPr>
              <w:t>2</w:t>
            </w:r>
            <w:r>
              <w:rPr>
                <w:rFonts w:hint="eastAsia" w:ascii="宋体" w:hAnsi="宋体"/>
                <w:szCs w:val="21"/>
              </w:rPr>
              <w:t>分，缺少一项扣1分，满分</w:t>
            </w:r>
            <w:r>
              <w:rPr>
                <w:rFonts w:hint="eastAsia" w:ascii="宋体" w:hAnsi="宋体"/>
                <w:szCs w:val="21"/>
                <w:lang w:val="en-US" w:eastAsia="zh-CN"/>
              </w:rPr>
              <w:t>2</w:t>
            </w:r>
            <w:r>
              <w:rPr>
                <w:rFonts w:hint="eastAsia" w:ascii="宋体" w:hAnsi="宋体"/>
                <w:szCs w:val="21"/>
              </w:rPr>
              <w:t>分。</w:t>
            </w:r>
          </w:p>
        </w:tc>
        <w:tc>
          <w:tcPr>
            <w:tcW w:w="1130" w:type="dxa"/>
            <w:vAlign w:val="center"/>
          </w:tcPr>
          <w:p w14:paraId="1409519E">
            <w:pPr>
              <w:pStyle w:val="13"/>
              <w:spacing w:line="360" w:lineRule="auto"/>
              <w:rPr>
                <w:rFonts w:hint="eastAsia" w:ascii="宋体" w:hAnsi="宋体" w:eastAsia="宋体"/>
                <w:b w:val="0"/>
                <w:kern w:val="2"/>
                <w:sz w:val="21"/>
                <w:szCs w:val="21"/>
                <w:lang w:val="en-US" w:eastAsia="zh-CN"/>
              </w:rPr>
            </w:pPr>
            <w:r>
              <w:rPr>
                <w:rFonts w:hint="eastAsia" w:ascii="宋体" w:hAnsi="宋体"/>
                <w:b w:val="0"/>
                <w:kern w:val="2"/>
                <w:sz w:val="21"/>
                <w:szCs w:val="21"/>
                <w:lang w:val="en-US" w:eastAsia="zh-CN"/>
              </w:rPr>
              <w:t>2</w:t>
            </w:r>
          </w:p>
        </w:tc>
      </w:tr>
      <w:tr w14:paraId="6C684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07" w:type="dxa"/>
            <w:vAlign w:val="center"/>
          </w:tcPr>
          <w:p w14:paraId="447A2DF8">
            <w:pPr>
              <w:pStyle w:val="13"/>
              <w:spacing w:line="360" w:lineRule="auto"/>
              <w:rPr>
                <w:rFonts w:ascii="宋体" w:hAnsi="宋体"/>
                <w:b w:val="0"/>
                <w:kern w:val="2"/>
                <w:sz w:val="21"/>
                <w:szCs w:val="21"/>
              </w:rPr>
            </w:pPr>
            <w:r>
              <w:rPr>
                <w:rFonts w:hint="eastAsia" w:ascii="宋体" w:hAnsi="宋体"/>
                <w:b w:val="0"/>
                <w:kern w:val="2"/>
                <w:sz w:val="21"/>
                <w:szCs w:val="21"/>
              </w:rPr>
              <w:t>4</w:t>
            </w:r>
          </w:p>
        </w:tc>
        <w:tc>
          <w:tcPr>
            <w:tcW w:w="6971" w:type="dxa"/>
            <w:vAlign w:val="center"/>
          </w:tcPr>
          <w:p w14:paraId="59118AF0">
            <w:pPr>
              <w:widowControl/>
              <w:spacing w:line="440" w:lineRule="exact"/>
              <w:jc w:val="left"/>
              <w:rPr>
                <w:rFonts w:ascii="宋体" w:hAnsi="宋体"/>
                <w:szCs w:val="21"/>
              </w:rPr>
            </w:pPr>
            <w:r>
              <w:rPr>
                <w:rFonts w:hint="eastAsia" w:ascii="宋体" w:hAnsi="宋体"/>
                <w:szCs w:val="21"/>
              </w:rPr>
              <w:t>根据报价人企业的目标管理制度、安全生产责任制度、质量管理评价制度、质量事故责任追究制度及其配套制度的完整、规范、全面等进行评价。提供制度完整规范全面的得</w:t>
            </w:r>
            <w:r>
              <w:rPr>
                <w:rFonts w:hint="eastAsia" w:ascii="宋体" w:hAnsi="宋体"/>
                <w:szCs w:val="21"/>
                <w:lang w:val="en-US" w:eastAsia="zh-CN"/>
              </w:rPr>
              <w:t>2</w:t>
            </w:r>
            <w:r>
              <w:rPr>
                <w:rFonts w:hint="eastAsia" w:ascii="宋体" w:hAnsi="宋体"/>
                <w:szCs w:val="21"/>
              </w:rPr>
              <w:t>分，其余不得分。</w:t>
            </w:r>
          </w:p>
        </w:tc>
        <w:tc>
          <w:tcPr>
            <w:tcW w:w="1130" w:type="dxa"/>
            <w:vAlign w:val="center"/>
          </w:tcPr>
          <w:p w14:paraId="29C8370E">
            <w:pPr>
              <w:pStyle w:val="13"/>
              <w:spacing w:line="360" w:lineRule="auto"/>
              <w:rPr>
                <w:rFonts w:hint="eastAsia" w:ascii="宋体" w:hAnsi="宋体" w:eastAsia="宋体"/>
                <w:b w:val="0"/>
                <w:kern w:val="2"/>
                <w:sz w:val="21"/>
                <w:szCs w:val="21"/>
                <w:lang w:val="en-US" w:eastAsia="zh-CN"/>
              </w:rPr>
            </w:pPr>
            <w:r>
              <w:rPr>
                <w:rFonts w:hint="eastAsia" w:ascii="宋体" w:hAnsi="宋体"/>
                <w:b w:val="0"/>
                <w:kern w:val="2"/>
                <w:sz w:val="21"/>
                <w:szCs w:val="21"/>
                <w:lang w:val="en-US" w:eastAsia="zh-CN"/>
              </w:rPr>
              <w:t>2</w:t>
            </w:r>
          </w:p>
        </w:tc>
      </w:tr>
      <w:tr w14:paraId="4E10E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07" w:type="dxa"/>
            <w:vMerge w:val="restart"/>
            <w:vAlign w:val="center"/>
          </w:tcPr>
          <w:p w14:paraId="2F64ED1C">
            <w:pPr>
              <w:pStyle w:val="13"/>
              <w:spacing w:line="360" w:lineRule="auto"/>
              <w:rPr>
                <w:rFonts w:ascii="宋体" w:hAnsi="宋体"/>
                <w:b w:val="0"/>
                <w:kern w:val="2"/>
                <w:sz w:val="21"/>
                <w:szCs w:val="21"/>
              </w:rPr>
            </w:pPr>
            <w:r>
              <w:rPr>
                <w:rFonts w:hint="eastAsia" w:ascii="宋体" w:hAnsi="宋体"/>
                <w:b w:val="0"/>
                <w:kern w:val="2"/>
                <w:sz w:val="21"/>
                <w:szCs w:val="21"/>
              </w:rPr>
              <w:t>5</w:t>
            </w:r>
          </w:p>
        </w:tc>
        <w:tc>
          <w:tcPr>
            <w:tcW w:w="6971" w:type="dxa"/>
            <w:vAlign w:val="center"/>
          </w:tcPr>
          <w:p w14:paraId="5FA279F2">
            <w:pPr>
              <w:widowControl/>
              <w:spacing w:line="440" w:lineRule="exact"/>
              <w:jc w:val="left"/>
              <w:rPr>
                <w:rFonts w:ascii="宋体" w:hAnsi="宋体"/>
                <w:szCs w:val="21"/>
              </w:rPr>
            </w:pPr>
            <w:r>
              <w:rPr>
                <w:rFonts w:hint="eastAsia" w:ascii="宋体" w:hAnsi="宋体"/>
                <w:szCs w:val="21"/>
              </w:rPr>
              <w:t>根据报价人提供的业务管理制度的完整性、严谨性和周到程度进行评分。</w:t>
            </w:r>
            <w:r>
              <w:rPr>
                <w:rFonts w:hint="eastAsia" w:ascii="宋体" w:hAnsi="宋体" w:cs="宋体"/>
                <w:kern w:val="0"/>
                <w:szCs w:val="21"/>
              </w:rPr>
              <w:t xml:space="preserve"> 提供方案得</w:t>
            </w:r>
            <w:r>
              <w:rPr>
                <w:rFonts w:hint="eastAsia" w:ascii="宋体" w:hAnsi="宋体" w:cs="宋体"/>
                <w:kern w:val="0"/>
                <w:szCs w:val="21"/>
                <w:lang w:val="en-US" w:eastAsia="zh-CN"/>
              </w:rPr>
              <w:t>1</w:t>
            </w:r>
            <w:r>
              <w:rPr>
                <w:rFonts w:hint="eastAsia" w:ascii="宋体" w:hAnsi="宋体" w:cs="宋体"/>
                <w:kern w:val="0"/>
                <w:szCs w:val="21"/>
              </w:rPr>
              <w:t>分，其余不得分。</w:t>
            </w:r>
          </w:p>
        </w:tc>
        <w:tc>
          <w:tcPr>
            <w:tcW w:w="1130" w:type="dxa"/>
            <w:vAlign w:val="center"/>
          </w:tcPr>
          <w:p w14:paraId="3997A10B">
            <w:pPr>
              <w:pStyle w:val="13"/>
              <w:spacing w:line="360" w:lineRule="auto"/>
              <w:rPr>
                <w:rFonts w:hint="default" w:ascii="宋体" w:hAnsi="宋体" w:eastAsia="宋体"/>
                <w:b w:val="0"/>
                <w:kern w:val="2"/>
                <w:sz w:val="21"/>
                <w:szCs w:val="21"/>
                <w:lang w:val="en-US" w:eastAsia="zh-CN"/>
              </w:rPr>
            </w:pPr>
            <w:r>
              <w:rPr>
                <w:rFonts w:hint="eastAsia" w:ascii="宋体" w:hAnsi="宋体"/>
                <w:b w:val="0"/>
                <w:kern w:val="2"/>
                <w:sz w:val="21"/>
                <w:szCs w:val="21"/>
                <w:lang w:val="en-US" w:eastAsia="zh-CN"/>
              </w:rPr>
              <w:t>1</w:t>
            </w:r>
          </w:p>
        </w:tc>
      </w:tr>
      <w:tr w14:paraId="24462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07" w:type="dxa"/>
            <w:vMerge w:val="continue"/>
            <w:vAlign w:val="center"/>
          </w:tcPr>
          <w:p w14:paraId="3196438A">
            <w:pPr>
              <w:pStyle w:val="13"/>
              <w:spacing w:line="360" w:lineRule="auto"/>
              <w:rPr>
                <w:rFonts w:hint="eastAsia" w:ascii="宋体" w:hAnsi="宋体"/>
                <w:b w:val="0"/>
                <w:kern w:val="2"/>
                <w:sz w:val="21"/>
                <w:szCs w:val="21"/>
              </w:rPr>
            </w:pPr>
          </w:p>
        </w:tc>
        <w:tc>
          <w:tcPr>
            <w:tcW w:w="6971" w:type="dxa"/>
            <w:vAlign w:val="center"/>
          </w:tcPr>
          <w:p w14:paraId="7D4ADFD7">
            <w:pPr>
              <w:widowControl/>
              <w:spacing w:line="440" w:lineRule="exact"/>
              <w:jc w:val="left"/>
              <w:rPr>
                <w:rFonts w:ascii="宋体" w:hAnsi="宋体"/>
                <w:szCs w:val="21"/>
              </w:rPr>
            </w:pPr>
            <w:r>
              <w:rPr>
                <w:rFonts w:hint="eastAsia" w:ascii="宋体" w:hAnsi="宋体"/>
                <w:szCs w:val="21"/>
              </w:rPr>
              <w:t>根据报价人提供的业务管控流程的完整性、严谨性和周到程度进行评分。</w:t>
            </w:r>
            <w:r>
              <w:rPr>
                <w:rFonts w:hint="eastAsia" w:ascii="宋体" w:hAnsi="宋体" w:cs="宋体"/>
                <w:kern w:val="0"/>
                <w:szCs w:val="21"/>
              </w:rPr>
              <w:t xml:space="preserve"> 提供方案得</w:t>
            </w:r>
            <w:r>
              <w:rPr>
                <w:rFonts w:hint="eastAsia" w:ascii="宋体" w:hAnsi="宋体" w:cs="宋体"/>
                <w:kern w:val="0"/>
                <w:szCs w:val="21"/>
                <w:lang w:val="en-US" w:eastAsia="zh-CN"/>
              </w:rPr>
              <w:t>1</w:t>
            </w:r>
            <w:r>
              <w:rPr>
                <w:rFonts w:hint="eastAsia" w:ascii="宋体" w:hAnsi="宋体" w:cs="宋体"/>
                <w:kern w:val="0"/>
                <w:szCs w:val="21"/>
              </w:rPr>
              <w:t>分，其余不得分。</w:t>
            </w:r>
          </w:p>
        </w:tc>
        <w:tc>
          <w:tcPr>
            <w:tcW w:w="1130" w:type="dxa"/>
            <w:vAlign w:val="center"/>
          </w:tcPr>
          <w:p w14:paraId="0DE87C15">
            <w:pPr>
              <w:pStyle w:val="13"/>
              <w:spacing w:line="360" w:lineRule="auto"/>
              <w:rPr>
                <w:rFonts w:hint="default" w:ascii="宋体" w:hAnsi="宋体" w:eastAsia="宋体"/>
                <w:b w:val="0"/>
                <w:kern w:val="2"/>
                <w:sz w:val="21"/>
                <w:szCs w:val="21"/>
                <w:lang w:val="en-US" w:eastAsia="zh-CN"/>
              </w:rPr>
            </w:pPr>
            <w:r>
              <w:rPr>
                <w:rFonts w:hint="eastAsia" w:ascii="宋体" w:hAnsi="宋体"/>
                <w:b w:val="0"/>
                <w:kern w:val="2"/>
                <w:sz w:val="21"/>
                <w:szCs w:val="21"/>
                <w:lang w:val="en-US" w:eastAsia="zh-CN"/>
              </w:rPr>
              <w:t>1</w:t>
            </w:r>
          </w:p>
        </w:tc>
      </w:tr>
      <w:tr w14:paraId="23603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07" w:type="dxa"/>
            <w:vMerge w:val="restart"/>
            <w:vAlign w:val="center"/>
          </w:tcPr>
          <w:p w14:paraId="5FEC60BE">
            <w:pPr>
              <w:pStyle w:val="13"/>
              <w:spacing w:line="360" w:lineRule="auto"/>
              <w:rPr>
                <w:rFonts w:ascii="宋体" w:hAnsi="宋体"/>
                <w:b w:val="0"/>
                <w:kern w:val="2"/>
                <w:sz w:val="21"/>
                <w:szCs w:val="21"/>
              </w:rPr>
            </w:pPr>
            <w:r>
              <w:rPr>
                <w:rFonts w:hint="eastAsia" w:ascii="宋体" w:hAnsi="宋体"/>
                <w:b w:val="0"/>
                <w:kern w:val="2"/>
                <w:sz w:val="21"/>
                <w:szCs w:val="21"/>
              </w:rPr>
              <w:t>6</w:t>
            </w:r>
          </w:p>
        </w:tc>
        <w:tc>
          <w:tcPr>
            <w:tcW w:w="6971" w:type="dxa"/>
            <w:vAlign w:val="center"/>
          </w:tcPr>
          <w:p w14:paraId="64B8EE43">
            <w:pPr>
              <w:widowControl/>
              <w:spacing w:line="440" w:lineRule="exact"/>
              <w:jc w:val="left"/>
              <w:rPr>
                <w:rFonts w:ascii="宋体" w:hAnsi="宋体"/>
                <w:szCs w:val="21"/>
              </w:rPr>
            </w:pPr>
            <w:r>
              <w:rPr>
                <w:rFonts w:hint="eastAsia"/>
              </w:rPr>
              <w:t>报价</w:t>
            </w:r>
            <w:r>
              <w:t>人具有相关部门颁发的有害生物防治监</w:t>
            </w:r>
            <w:r>
              <w:rPr>
                <w:rFonts w:hint="eastAsia"/>
                <w:lang w:val="en-US" w:eastAsia="zh-CN"/>
              </w:rPr>
              <w:t>测服务资质</w:t>
            </w:r>
            <w:r>
              <w:t>证书的得</w:t>
            </w:r>
            <w:r>
              <w:rPr>
                <w:rFonts w:hint="eastAsia"/>
                <w:lang w:val="en-US" w:eastAsia="zh-CN"/>
              </w:rPr>
              <w:t>1</w:t>
            </w:r>
            <w:r>
              <w:t>分，须提供相关证明材料，未提供本项不得分。</w:t>
            </w:r>
          </w:p>
        </w:tc>
        <w:tc>
          <w:tcPr>
            <w:tcW w:w="1130" w:type="dxa"/>
            <w:vAlign w:val="center"/>
          </w:tcPr>
          <w:p w14:paraId="2F63E44E">
            <w:pPr>
              <w:pStyle w:val="13"/>
              <w:spacing w:line="360" w:lineRule="auto"/>
              <w:rPr>
                <w:rFonts w:hint="default" w:ascii="宋体" w:hAnsi="宋体" w:eastAsia="宋体"/>
                <w:b w:val="0"/>
                <w:kern w:val="2"/>
                <w:sz w:val="21"/>
                <w:szCs w:val="21"/>
                <w:lang w:val="en-US" w:eastAsia="zh-CN"/>
              </w:rPr>
            </w:pPr>
            <w:r>
              <w:rPr>
                <w:rFonts w:hint="eastAsia" w:ascii="宋体" w:hAnsi="宋体"/>
                <w:b w:val="0"/>
                <w:kern w:val="2"/>
                <w:sz w:val="21"/>
                <w:szCs w:val="21"/>
                <w:lang w:val="en-US" w:eastAsia="zh-CN"/>
              </w:rPr>
              <w:t>1</w:t>
            </w:r>
          </w:p>
        </w:tc>
      </w:tr>
      <w:tr w14:paraId="17D00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07" w:type="dxa"/>
            <w:vMerge w:val="continue"/>
            <w:vAlign w:val="center"/>
          </w:tcPr>
          <w:p w14:paraId="76A5A67E">
            <w:pPr>
              <w:pStyle w:val="13"/>
              <w:spacing w:line="360" w:lineRule="auto"/>
              <w:rPr>
                <w:rFonts w:hint="eastAsia" w:ascii="宋体" w:hAnsi="宋体"/>
                <w:b w:val="0"/>
                <w:kern w:val="2"/>
                <w:sz w:val="21"/>
                <w:szCs w:val="21"/>
              </w:rPr>
            </w:pPr>
          </w:p>
        </w:tc>
        <w:tc>
          <w:tcPr>
            <w:tcW w:w="6971" w:type="dxa"/>
            <w:vAlign w:val="center"/>
          </w:tcPr>
          <w:p w14:paraId="2CC6D478">
            <w:pPr>
              <w:widowControl/>
              <w:spacing w:line="440" w:lineRule="exact"/>
              <w:jc w:val="left"/>
            </w:pPr>
            <w:r>
              <w:rPr>
                <w:rFonts w:hint="eastAsia"/>
              </w:rPr>
              <w:t>报价</w:t>
            </w:r>
            <w:r>
              <w:t>人具有相关部门颁发的病媒生物应急预案处理系统的证书的得</w:t>
            </w:r>
            <w:r>
              <w:rPr>
                <w:rFonts w:hint="eastAsia"/>
                <w:lang w:val="en-US" w:eastAsia="zh-CN"/>
              </w:rPr>
              <w:t>1</w:t>
            </w:r>
            <w:r>
              <w:t>分，须提供相关证明材料，未提供本项不得分。</w:t>
            </w:r>
          </w:p>
        </w:tc>
        <w:tc>
          <w:tcPr>
            <w:tcW w:w="1130" w:type="dxa"/>
            <w:vAlign w:val="center"/>
          </w:tcPr>
          <w:p w14:paraId="3B23E618">
            <w:pPr>
              <w:pStyle w:val="13"/>
              <w:spacing w:line="360" w:lineRule="auto"/>
              <w:rPr>
                <w:rFonts w:hint="default" w:ascii="宋体" w:hAnsi="宋体" w:eastAsia="宋体"/>
                <w:b w:val="0"/>
                <w:kern w:val="2"/>
                <w:sz w:val="21"/>
                <w:szCs w:val="21"/>
                <w:lang w:val="en-US" w:eastAsia="zh-CN"/>
              </w:rPr>
            </w:pPr>
            <w:r>
              <w:rPr>
                <w:rFonts w:hint="eastAsia" w:ascii="宋体" w:hAnsi="宋体"/>
                <w:b w:val="0"/>
                <w:kern w:val="2"/>
                <w:sz w:val="21"/>
                <w:szCs w:val="21"/>
                <w:lang w:val="en-US" w:eastAsia="zh-CN"/>
              </w:rPr>
              <w:t>1</w:t>
            </w:r>
          </w:p>
        </w:tc>
      </w:tr>
      <w:tr w14:paraId="7BD76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07" w:type="dxa"/>
            <w:vAlign w:val="center"/>
          </w:tcPr>
          <w:p w14:paraId="4C96BB68">
            <w:pPr>
              <w:pStyle w:val="13"/>
              <w:spacing w:line="360" w:lineRule="auto"/>
              <w:rPr>
                <w:rFonts w:ascii="宋体" w:hAnsi="宋体"/>
                <w:b w:val="0"/>
                <w:kern w:val="2"/>
                <w:sz w:val="21"/>
                <w:szCs w:val="21"/>
              </w:rPr>
            </w:pPr>
            <w:r>
              <w:rPr>
                <w:rFonts w:hint="eastAsia" w:ascii="宋体" w:hAnsi="宋体"/>
                <w:b w:val="0"/>
                <w:kern w:val="2"/>
                <w:sz w:val="21"/>
                <w:szCs w:val="21"/>
              </w:rPr>
              <w:t>7</w:t>
            </w:r>
          </w:p>
        </w:tc>
        <w:tc>
          <w:tcPr>
            <w:tcW w:w="6971" w:type="dxa"/>
            <w:vAlign w:val="center"/>
          </w:tcPr>
          <w:p w14:paraId="0BC4AA33">
            <w:pPr>
              <w:widowControl/>
              <w:spacing w:line="440" w:lineRule="exact"/>
              <w:jc w:val="left"/>
              <w:rPr>
                <w:rFonts w:ascii="宋体" w:hAnsi="宋体" w:cs="宋体"/>
                <w:b/>
                <w:bCs/>
                <w:kern w:val="0"/>
                <w:szCs w:val="21"/>
              </w:rPr>
            </w:pPr>
            <w:r>
              <w:rPr>
                <w:rFonts w:hint="eastAsia" w:ascii="宋体" w:hAnsi="宋体" w:cs="宋体"/>
                <w:b/>
                <w:bCs/>
                <w:kern w:val="0"/>
                <w:szCs w:val="21"/>
              </w:rPr>
              <w:t>类似业绩、经验：</w:t>
            </w:r>
          </w:p>
          <w:p w14:paraId="6435E92E">
            <w:pPr>
              <w:widowControl/>
              <w:spacing w:line="360" w:lineRule="auto"/>
              <w:jc w:val="left"/>
              <w:rPr>
                <w:rFonts w:hint="eastAsia" w:ascii="宋体" w:hAnsi="宋体" w:cs="宋体"/>
                <w:kern w:val="0"/>
                <w:szCs w:val="21"/>
              </w:rPr>
            </w:pPr>
            <w:r>
              <w:rPr>
                <w:rFonts w:hint="eastAsia" w:ascii="宋体" w:hAnsi="宋体" w:cs="宋体"/>
                <w:kern w:val="0"/>
                <w:szCs w:val="21"/>
              </w:rPr>
              <w:t>根据报价人</w:t>
            </w:r>
            <w:r>
              <w:rPr>
                <w:rFonts w:hint="eastAsia" w:ascii="宋体" w:hAnsi="宋体" w:cs="宋体"/>
                <w:kern w:val="0"/>
                <w:szCs w:val="21"/>
                <w:lang w:val="en-US" w:eastAsia="zh-CN"/>
              </w:rPr>
              <w:t>2022</w:t>
            </w:r>
            <w:r>
              <w:rPr>
                <w:rFonts w:hint="eastAsia" w:ascii="宋体" w:hAnsi="宋体" w:cs="宋体"/>
                <w:kern w:val="0"/>
                <w:szCs w:val="21"/>
              </w:rPr>
              <w:t>年1月1日至磋商当日（以合同签订时间为准）类似业绩进行评价：每个业绩得1分，2个得2分，3个得3分。按备注提供材料。</w:t>
            </w:r>
          </w:p>
          <w:p w14:paraId="4283366A">
            <w:pPr>
              <w:widowControl/>
              <w:spacing w:line="360" w:lineRule="auto"/>
              <w:jc w:val="left"/>
              <w:rPr>
                <w:rFonts w:hint="eastAsia" w:ascii="宋体" w:hAnsi="宋体" w:cs="宋体"/>
                <w:kern w:val="0"/>
                <w:szCs w:val="21"/>
              </w:rPr>
            </w:pPr>
            <w:r>
              <w:rPr>
                <w:rFonts w:hint="eastAsia" w:ascii="宋体" w:hAnsi="宋体"/>
                <w:szCs w:val="21"/>
              </w:rPr>
              <w:t>报价人须提供该业绩项目的中标（成交）公告（提供相关网站中标（成交）公告的下载网页及其网址）、中标（成交）通知书复印件、采购合同文本复印件，以及能够证明该业绩项目的相关证明文件复印件；如未按采购文件要求提供该项业绩完整资料的，评委对该项业绩应不予采信。</w:t>
            </w:r>
          </w:p>
        </w:tc>
        <w:tc>
          <w:tcPr>
            <w:tcW w:w="1130" w:type="dxa"/>
            <w:vAlign w:val="center"/>
          </w:tcPr>
          <w:p w14:paraId="00C53F11">
            <w:pPr>
              <w:pStyle w:val="13"/>
              <w:spacing w:line="360" w:lineRule="auto"/>
              <w:rPr>
                <w:rFonts w:ascii="宋体" w:hAnsi="宋体"/>
                <w:b w:val="0"/>
                <w:kern w:val="2"/>
                <w:sz w:val="21"/>
                <w:szCs w:val="21"/>
              </w:rPr>
            </w:pPr>
            <w:r>
              <w:rPr>
                <w:rFonts w:hint="eastAsia" w:ascii="宋体" w:hAnsi="宋体"/>
                <w:b w:val="0"/>
                <w:kern w:val="2"/>
                <w:sz w:val="21"/>
                <w:szCs w:val="21"/>
              </w:rPr>
              <w:t>3</w:t>
            </w:r>
          </w:p>
        </w:tc>
      </w:tr>
      <w:tr w14:paraId="19A1D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07" w:type="dxa"/>
            <w:vAlign w:val="center"/>
          </w:tcPr>
          <w:p w14:paraId="7C314134">
            <w:pPr>
              <w:pStyle w:val="13"/>
              <w:spacing w:line="360" w:lineRule="auto"/>
              <w:rPr>
                <w:rFonts w:ascii="宋体" w:hAnsi="宋体"/>
                <w:b w:val="0"/>
                <w:kern w:val="2"/>
                <w:sz w:val="21"/>
                <w:szCs w:val="21"/>
              </w:rPr>
            </w:pPr>
            <w:r>
              <w:rPr>
                <w:rFonts w:hint="eastAsia" w:ascii="宋体" w:hAnsi="宋体"/>
                <w:b w:val="0"/>
                <w:kern w:val="2"/>
                <w:sz w:val="21"/>
                <w:szCs w:val="21"/>
              </w:rPr>
              <w:t>8</w:t>
            </w:r>
          </w:p>
        </w:tc>
        <w:tc>
          <w:tcPr>
            <w:tcW w:w="6971" w:type="dxa"/>
            <w:vAlign w:val="center"/>
          </w:tcPr>
          <w:p w14:paraId="598640F0">
            <w:pPr>
              <w:widowControl/>
              <w:spacing w:line="360" w:lineRule="auto"/>
              <w:rPr>
                <w:rFonts w:ascii="宋体"/>
                <w:szCs w:val="21"/>
              </w:rPr>
            </w:pPr>
            <w:r>
              <w:rPr>
                <w:rFonts w:hint="eastAsia" w:ascii="宋体" w:hAnsi="宋体" w:cs="宋体"/>
                <w:kern w:val="0"/>
                <w:szCs w:val="21"/>
              </w:rPr>
              <w:t>本地化服务：报价人须承诺若</w:t>
            </w:r>
            <w:r>
              <w:rPr>
                <w:rFonts w:hint="eastAsia" w:ascii="宋体" w:hAnsi="宋体" w:cs="宋体"/>
                <w:kern w:val="0"/>
                <w:szCs w:val="21"/>
                <w:lang w:val="en-US" w:eastAsia="zh-CN"/>
              </w:rPr>
              <w:t>厦门本地区</w:t>
            </w:r>
            <w:r>
              <w:rPr>
                <w:rFonts w:hint="eastAsia" w:ascii="宋体" w:hAnsi="宋体" w:cs="宋体"/>
                <w:kern w:val="0"/>
                <w:szCs w:val="21"/>
              </w:rPr>
              <w:t>注册或设有分支机构的得</w:t>
            </w:r>
            <w:r>
              <w:rPr>
                <w:rFonts w:hint="eastAsia" w:ascii="宋体" w:hAnsi="宋体" w:cs="宋体"/>
                <w:kern w:val="0"/>
                <w:szCs w:val="21"/>
                <w:lang w:val="en-US" w:eastAsia="zh-CN"/>
              </w:rPr>
              <w:t>2</w:t>
            </w:r>
            <w:r>
              <w:rPr>
                <w:rFonts w:hint="eastAsia" w:ascii="宋体" w:hAnsi="宋体" w:cs="宋体"/>
                <w:kern w:val="0"/>
                <w:szCs w:val="21"/>
              </w:rPr>
              <w:t>分，在省内其他地区注册或设有分支机构的得1分，其他不得分。</w:t>
            </w:r>
          </w:p>
        </w:tc>
        <w:tc>
          <w:tcPr>
            <w:tcW w:w="1130" w:type="dxa"/>
            <w:vAlign w:val="center"/>
          </w:tcPr>
          <w:p w14:paraId="3BB74BF9">
            <w:pPr>
              <w:pStyle w:val="13"/>
              <w:spacing w:line="360" w:lineRule="auto"/>
              <w:rPr>
                <w:rFonts w:hint="default" w:ascii="宋体" w:hAnsi="宋体" w:eastAsia="宋体"/>
                <w:b w:val="0"/>
                <w:kern w:val="2"/>
                <w:sz w:val="21"/>
                <w:szCs w:val="21"/>
                <w:lang w:val="en-US" w:eastAsia="zh-CN"/>
              </w:rPr>
            </w:pPr>
            <w:r>
              <w:rPr>
                <w:rFonts w:hint="eastAsia" w:ascii="宋体" w:hAnsi="宋体"/>
                <w:b w:val="0"/>
                <w:kern w:val="2"/>
                <w:sz w:val="21"/>
                <w:szCs w:val="21"/>
                <w:lang w:val="en-US" w:eastAsia="zh-CN"/>
              </w:rPr>
              <w:t>2</w:t>
            </w:r>
          </w:p>
        </w:tc>
      </w:tr>
      <w:tr w14:paraId="3FA80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07" w:type="dxa"/>
            <w:vAlign w:val="center"/>
          </w:tcPr>
          <w:p w14:paraId="4A463787">
            <w:pPr>
              <w:pStyle w:val="13"/>
              <w:spacing w:line="360" w:lineRule="auto"/>
              <w:rPr>
                <w:rFonts w:hint="eastAsia" w:ascii="宋体" w:hAnsi="宋体"/>
                <w:b w:val="0"/>
                <w:kern w:val="2"/>
                <w:sz w:val="21"/>
                <w:szCs w:val="21"/>
              </w:rPr>
            </w:pPr>
            <w:r>
              <w:rPr>
                <w:rFonts w:hint="eastAsia" w:ascii="宋体" w:hAnsi="宋体"/>
                <w:b w:val="0"/>
                <w:kern w:val="2"/>
                <w:sz w:val="21"/>
                <w:szCs w:val="21"/>
              </w:rPr>
              <w:t>9</w:t>
            </w:r>
          </w:p>
        </w:tc>
        <w:tc>
          <w:tcPr>
            <w:tcW w:w="6971" w:type="dxa"/>
            <w:vAlign w:val="center"/>
          </w:tcPr>
          <w:p w14:paraId="554FFB1D">
            <w:pPr>
              <w:keepNext w:val="0"/>
              <w:keepLines w:val="0"/>
              <w:widowControl/>
              <w:suppressLineNumbers w:val="0"/>
              <w:spacing w:line="360" w:lineRule="auto"/>
              <w:jc w:val="left"/>
              <w:rPr>
                <w:rFonts w:hint="eastAsia" w:ascii="宋体" w:hAnsi="宋体" w:cs="宋体"/>
                <w:kern w:val="0"/>
                <w:szCs w:val="21"/>
              </w:rPr>
            </w:pPr>
            <w:r>
              <w:rPr>
                <w:rFonts w:hint="eastAsia" w:ascii="宋体" w:hAnsi="宋体" w:eastAsia="宋体" w:cs="宋体"/>
                <w:color w:val="000000"/>
                <w:kern w:val="0"/>
                <w:sz w:val="21"/>
                <w:szCs w:val="21"/>
                <w:lang w:val="en-US" w:eastAsia="zh-CN" w:bidi="ar"/>
              </w:rPr>
              <w:t>报价人提供ISO9001 质量体系、ISO14001 环境管理体系、ISO45001 职业健康安全管理体系证书（以上认证内容需与有害生物防治相关内容）的每提供 1 个得 1 分，提供有效证书复印件及国家认证可监督管理委员会官方网站www.cnca.gov.cn查询截图并加盖投标人公章，作为评分依据，否则不得分。</w:t>
            </w:r>
          </w:p>
        </w:tc>
        <w:tc>
          <w:tcPr>
            <w:tcW w:w="1130" w:type="dxa"/>
            <w:vAlign w:val="center"/>
          </w:tcPr>
          <w:p w14:paraId="17562392">
            <w:pPr>
              <w:pStyle w:val="13"/>
              <w:spacing w:line="360" w:lineRule="auto"/>
              <w:rPr>
                <w:rFonts w:hint="eastAsia" w:ascii="宋体" w:hAnsi="宋体" w:eastAsia="宋体"/>
                <w:b w:val="0"/>
                <w:kern w:val="2"/>
                <w:sz w:val="21"/>
                <w:szCs w:val="21"/>
                <w:lang w:eastAsia="zh-CN"/>
              </w:rPr>
            </w:pPr>
            <w:r>
              <w:rPr>
                <w:rFonts w:hint="eastAsia" w:ascii="宋体" w:hAnsi="宋体"/>
                <w:b w:val="0"/>
                <w:kern w:val="2"/>
                <w:sz w:val="21"/>
                <w:szCs w:val="21"/>
                <w:lang w:val="en-US" w:eastAsia="zh-CN"/>
              </w:rPr>
              <w:t>3</w:t>
            </w:r>
          </w:p>
        </w:tc>
      </w:tr>
    </w:tbl>
    <w:p w14:paraId="2DB9CD6F">
      <w:pPr>
        <w:spacing w:line="360" w:lineRule="auto"/>
        <w:rPr>
          <w:rFonts w:ascii="宋体" w:hAnsi="宋体"/>
        </w:rPr>
      </w:pPr>
    </w:p>
    <w:p w14:paraId="7BE27D88">
      <w:pPr>
        <w:spacing w:line="360" w:lineRule="auto"/>
        <w:jc w:val="left"/>
        <w:outlineLvl w:val="0"/>
        <w:rPr>
          <w:rFonts w:ascii="宋体" w:hAnsi="宋体"/>
          <w:b/>
          <w:sz w:val="24"/>
          <w:szCs w:val="24"/>
        </w:rPr>
      </w:pPr>
      <w:r>
        <w:rPr>
          <w:rFonts w:hint="eastAsia" w:ascii="宋体" w:hAnsi="宋体"/>
          <w:b/>
          <w:sz w:val="24"/>
          <w:szCs w:val="24"/>
        </w:rPr>
        <w:t>（三）报价评分（F3）标准（满分</w:t>
      </w:r>
      <w:r>
        <w:rPr>
          <w:rFonts w:hint="eastAsia" w:ascii="宋体" w:hAnsi="宋体"/>
          <w:b/>
          <w:sz w:val="24"/>
          <w:szCs w:val="24"/>
          <w:lang w:val="en-US" w:eastAsia="zh-CN"/>
        </w:rPr>
        <w:t>15</w:t>
      </w:r>
      <w:r>
        <w:rPr>
          <w:rFonts w:hint="eastAsia" w:ascii="宋体" w:hAnsi="宋体"/>
          <w:b/>
          <w:sz w:val="24"/>
          <w:szCs w:val="24"/>
        </w:rPr>
        <w:t>分）：</w:t>
      </w:r>
    </w:p>
    <w:p w14:paraId="7B9070D2">
      <w:pPr>
        <w:pStyle w:val="6"/>
        <w:widowControl/>
        <w:numPr>
          <w:ilvl w:val="0"/>
          <w:numId w:val="0"/>
        </w:numPr>
        <w:spacing w:line="480" w:lineRule="auto"/>
        <w:ind w:firstLine="482" w:firstLineChars="200"/>
        <w:rPr>
          <w:rFonts w:hint="default" w:ascii="宋体" w:hAnsi="宋体"/>
          <w:sz w:val="24"/>
          <w:lang w:val="en-US"/>
        </w:rPr>
      </w:pPr>
      <w:r>
        <w:rPr>
          <w:rFonts w:hint="eastAsia" w:ascii="宋体" w:hAnsi="宋体" w:cs="宋体"/>
          <w:b/>
          <w:color w:val="auto"/>
          <w:highlight w:val="none"/>
          <w:lang w:val="en-US" w:eastAsia="zh-CN"/>
        </w:rPr>
        <w:t>本项目最高控制价9万，报价超过最高控制价为无效报价，投标文件作废。</w:t>
      </w:r>
    </w:p>
    <w:p w14:paraId="4F1928B0">
      <w:pPr>
        <w:spacing w:line="360" w:lineRule="auto"/>
        <w:ind w:firstLine="480" w:firstLineChars="200"/>
        <w:rPr>
          <w:rFonts w:ascii="宋体" w:hAnsi="宋体"/>
          <w:sz w:val="24"/>
        </w:rPr>
      </w:pPr>
      <w:r>
        <w:rPr>
          <w:rFonts w:hint="eastAsia" w:ascii="宋体" w:hAnsi="宋体"/>
          <w:sz w:val="24"/>
        </w:rPr>
        <w:t>满足采购文件要求且有效标评审价最低的报价人的价格为磋商基准价，其价格分为满分。其他报价人的价格分统一按照公式：磋商报价得分=</w:t>
      </w:r>
      <w:r>
        <w:rPr>
          <w:rFonts w:hint="eastAsia" w:ascii="宋体" w:hAnsi="宋体"/>
          <w:sz w:val="24"/>
          <w:lang w:val="en-US" w:eastAsia="zh-CN"/>
        </w:rPr>
        <w:t>15</w:t>
      </w:r>
      <w:r>
        <w:rPr>
          <w:rFonts w:hint="eastAsia" w:ascii="宋体" w:hAnsi="宋体"/>
          <w:sz w:val="24"/>
        </w:rPr>
        <w:t>×磋商基准价/报价人的评审价</w:t>
      </w:r>
    </w:p>
    <w:p w14:paraId="23D19743">
      <w:pPr>
        <w:pStyle w:val="2"/>
        <w:rPr>
          <w:rFonts w:hint="eastAsia" w:ascii="宋体" w:hAnsi="宋体"/>
        </w:rPr>
      </w:pPr>
    </w:p>
    <w:p w14:paraId="6027A890">
      <w:pPr>
        <w:rPr>
          <w:rFonts w:hint="eastAsia" w:ascii="宋体" w:hAnsi="宋体"/>
          <w:b/>
          <w:color w:val="auto"/>
          <w:sz w:val="24"/>
          <w:szCs w:val="24"/>
          <w:highlight w:val="none"/>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egoe UI">
    <w:panose1 w:val="020B0502040204020203"/>
    <w:charset w:val="00"/>
    <w:family w:val="auto"/>
    <w:pitch w:val="default"/>
    <w:sig w:usb0="E10022FF" w:usb1="C000E47F" w:usb2="00000029" w:usb3="00000000" w:csb0="200001DF" w:csb1="2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B1644E"/>
    <w:multiLevelType w:val="singleLevel"/>
    <w:tmpl w:val="E3B1644E"/>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FhYjUwNjQ1Y2U3MDNlODAxMmQzZWUwMTY3ZmU1NTcifQ=="/>
  </w:docVars>
  <w:rsids>
    <w:rsidRoot w:val="00000000"/>
    <w:rsid w:val="021769EA"/>
    <w:rsid w:val="026223A4"/>
    <w:rsid w:val="0624450F"/>
    <w:rsid w:val="078C7145"/>
    <w:rsid w:val="0F306556"/>
    <w:rsid w:val="1008458B"/>
    <w:rsid w:val="10B454FB"/>
    <w:rsid w:val="16A57D80"/>
    <w:rsid w:val="175A7E28"/>
    <w:rsid w:val="192D4477"/>
    <w:rsid w:val="19BA176A"/>
    <w:rsid w:val="19C332D1"/>
    <w:rsid w:val="1C4E33F2"/>
    <w:rsid w:val="1E3F77AE"/>
    <w:rsid w:val="1F8225E1"/>
    <w:rsid w:val="273F1938"/>
    <w:rsid w:val="286D0B9A"/>
    <w:rsid w:val="28C96261"/>
    <w:rsid w:val="28CD268B"/>
    <w:rsid w:val="30D37E45"/>
    <w:rsid w:val="35496928"/>
    <w:rsid w:val="3704347E"/>
    <w:rsid w:val="3C577B7C"/>
    <w:rsid w:val="408C3D93"/>
    <w:rsid w:val="41670C47"/>
    <w:rsid w:val="42190100"/>
    <w:rsid w:val="424234C2"/>
    <w:rsid w:val="45F10750"/>
    <w:rsid w:val="4B4C4C8F"/>
    <w:rsid w:val="4CA30BBC"/>
    <w:rsid w:val="4CF803E4"/>
    <w:rsid w:val="502A55D6"/>
    <w:rsid w:val="502E40D8"/>
    <w:rsid w:val="52CC0673"/>
    <w:rsid w:val="5701232E"/>
    <w:rsid w:val="5A9F60E3"/>
    <w:rsid w:val="5BC61C47"/>
    <w:rsid w:val="5E417349"/>
    <w:rsid w:val="5EF455F7"/>
    <w:rsid w:val="609E0CAC"/>
    <w:rsid w:val="61693D2A"/>
    <w:rsid w:val="61FE53BC"/>
    <w:rsid w:val="63FD0FFA"/>
    <w:rsid w:val="64653CE9"/>
    <w:rsid w:val="64A27E2A"/>
    <w:rsid w:val="688418E5"/>
    <w:rsid w:val="6A8F4967"/>
    <w:rsid w:val="6B991B92"/>
    <w:rsid w:val="6C7B7C5C"/>
    <w:rsid w:val="729A63E3"/>
    <w:rsid w:val="72B345E4"/>
    <w:rsid w:val="7EEF3F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0"/>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4">
    <w:name w:val="Normal Indent"/>
    <w:basedOn w:val="1"/>
    <w:qFormat/>
    <w:uiPriority w:val="0"/>
    <w:pPr>
      <w:ind w:firstLine="420"/>
    </w:pPr>
    <w:rPr>
      <w:rFonts w:ascii="宋体" w:hAnsi="宋体"/>
    </w:rPr>
  </w:style>
  <w:style w:type="paragraph" w:styleId="5">
    <w:name w:val="toc 1"/>
    <w:basedOn w:val="1"/>
    <w:next w:val="1"/>
    <w:qFormat/>
    <w:uiPriority w:val="39"/>
    <w:rPr>
      <w:rFonts w:ascii="Times New Roman" w:hAnsi="Times New Roman"/>
      <w:szCs w:val="24"/>
    </w:rPr>
  </w:style>
  <w:style w:type="paragraph" w:styleId="6">
    <w:name w:val="Normal (Web)"/>
    <w:basedOn w:val="1"/>
    <w:unhideWhenUsed/>
    <w:qFormat/>
    <w:uiPriority w:val="0"/>
    <w:rPr>
      <w:rFonts w:ascii="Times New Roman" w:hAnsi="Times New Roman"/>
      <w:sz w:val="24"/>
      <w:szCs w:val="24"/>
    </w:rPr>
  </w:style>
  <w:style w:type="character" w:styleId="9">
    <w:name w:val="Strong"/>
    <w:qFormat/>
    <w:uiPriority w:val="22"/>
    <w:rPr>
      <w:rFonts w:ascii="Calibri" w:hAnsi="Calibri" w:eastAsia="宋体" w:cs="Times New Roman"/>
      <w:b/>
      <w:bCs/>
    </w:rPr>
  </w:style>
  <w:style w:type="character" w:customStyle="1" w:styleId="10">
    <w:name w:val="font01"/>
    <w:basedOn w:val="8"/>
    <w:qFormat/>
    <w:uiPriority w:val="0"/>
    <w:rPr>
      <w:rFonts w:hint="eastAsia" w:ascii="宋体" w:hAnsi="宋体" w:eastAsia="宋体" w:cs="宋体"/>
      <w:b/>
      <w:bCs/>
      <w:color w:val="000000"/>
      <w:sz w:val="24"/>
      <w:szCs w:val="24"/>
      <w:u w:val="none"/>
    </w:rPr>
  </w:style>
  <w:style w:type="character" w:customStyle="1" w:styleId="11">
    <w:name w:val="font41"/>
    <w:basedOn w:val="8"/>
    <w:qFormat/>
    <w:uiPriority w:val="0"/>
    <w:rPr>
      <w:rFonts w:hint="eastAsia" w:ascii="宋体" w:hAnsi="宋体" w:eastAsia="宋体" w:cs="宋体"/>
      <w:b/>
      <w:bCs/>
      <w:color w:val="000000"/>
      <w:sz w:val="24"/>
      <w:szCs w:val="24"/>
      <w:u w:val="single"/>
    </w:rPr>
  </w:style>
  <w:style w:type="paragraph" w:customStyle="1" w:styleId="12">
    <w:name w:val="Char Char Char Char Char Char Char"/>
    <w:basedOn w:val="1"/>
    <w:qFormat/>
    <w:uiPriority w:val="0"/>
    <w:rPr>
      <w:rFonts w:ascii="Times New Roman" w:hAnsi="Times New Roman" w:eastAsia="宋体" w:cs="Times New Roman"/>
      <w:szCs w:val="24"/>
    </w:rPr>
  </w:style>
  <w:style w:type="paragraph" w:customStyle="1" w:styleId="13">
    <w:name w:val="表头文本"/>
    <w:basedOn w:val="1"/>
    <w:qFormat/>
    <w:uiPriority w:val="0"/>
    <w:pPr>
      <w:autoSpaceDE w:val="0"/>
      <w:autoSpaceDN w:val="0"/>
      <w:adjustRightInd w:val="0"/>
      <w:jc w:val="center"/>
    </w:pPr>
    <w:rPr>
      <w:rFonts w:ascii="Times New Roman" w:hAnsi="Times New Roman" w:eastAsia="宋体" w:cs="Times New Roman"/>
      <w:b/>
      <w:kern w:val="0"/>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2971</Words>
  <Characters>3066</Characters>
  <Lines>0</Lines>
  <Paragraphs>0</Paragraphs>
  <TotalTime>43</TotalTime>
  <ScaleCrop>false</ScaleCrop>
  <LinksUpToDate>false</LinksUpToDate>
  <CharactersWithSpaces>3121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2023-03-14T12:52:00Z</dcterms:created>
  <dc:creator>Administrator</dc:creator>
  <cp:lastModifiedBy>Administrator</cp:lastModifiedBy>
  <cp:lastPrinted>2025-04-09T08:25:00Z</cp:lastPrinted>
  <dcterms:modified xsi:type="dcterms:W3CDTF">2025-04-14T03:17:11Z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88FF6A006D244AFE823FEF45A93CADB9_13</vt:lpwstr>
  </property>
  <property fmtid="{D5CDD505-2E9C-101B-9397-08002B2CF9AE}" pid="4" name="KSOTemplateDocerSaveRecord">
    <vt:lpwstr>eyJoZGlkIjoiOTMzZDVlNDMyZDY5NzBiYzZiYWE5ZDY4MjkwZDY2ZTcifQ==</vt:lpwstr>
  </property>
</Properties>
</file>