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DF4B0">
      <w:pPr>
        <w:pStyle w:val="11"/>
        <w:widowControl/>
        <w:spacing w:line="480" w:lineRule="auto"/>
        <w:jc w:val="center"/>
        <w:rPr>
          <w:rFonts w:hint="eastAsia" w:ascii="宋体" w:hAnsi="宋体" w:cs="宋体"/>
          <w:b/>
          <w:sz w:val="32"/>
          <w:szCs w:val="32"/>
        </w:rPr>
      </w:pPr>
      <w:bookmarkStart w:id="0" w:name="_Hlk193656232"/>
      <w:r>
        <w:rPr>
          <w:rFonts w:hint="eastAsia" w:ascii="宋体" w:hAnsi="宋体" w:cs="宋体"/>
          <w:b/>
          <w:sz w:val="32"/>
          <w:szCs w:val="32"/>
          <w:lang w:val="en-US" w:eastAsia="zh-CN"/>
        </w:rPr>
        <w:t>集美院区小木屋消防安全可行性研究方案及</w:t>
      </w:r>
      <w:bookmarkEnd w:id="0"/>
      <w:r>
        <w:rPr>
          <w:rFonts w:hint="eastAsia" w:ascii="宋体" w:hAnsi="宋体" w:cs="宋体"/>
          <w:b/>
          <w:sz w:val="32"/>
          <w:szCs w:val="32"/>
          <w:lang w:val="en-US" w:eastAsia="zh-CN"/>
        </w:rPr>
        <w:t>整改评查服务</w:t>
      </w:r>
    </w:p>
    <w:p w14:paraId="1D3F5DD8">
      <w:pPr>
        <w:pStyle w:val="11"/>
        <w:widowControl/>
        <w:spacing w:line="480" w:lineRule="auto"/>
        <w:ind w:firstLine="482" w:firstLineChars="200"/>
        <w:rPr>
          <w:rFonts w:hint="eastAsia" w:ascii="宋体" w:hAnsi="宋体" w:cs="宋体"/>
          <w:b/>
        </w:rPr>
      </w:pPr>
      <w:r>
        <w:rPr>
          <w:rFonts w:hint="eastAsia" w:ascii="宋体" w:hAnsi="宋体" w:cs="宋体"/>
          <w:b/>
        </w:rPr>
        <w:t>一、项目概况</w:t>
      </w:r>
    </w:p>
    <w:p w14:paraId="66FE28FB">
      <w:pPr>
        <w:pStyle w:val="11"/>
        <w:widowControl/>
        <w:spacing w:line="360" w:lineRule="auto"/>
        <w:ind w:firstLine="480" w:firstLineChars="200"/>
        <w:rPr>
          <w:rFonts w:ascii="宋体" w:hAnsi="宋体" w:cs="宋体"/>
        </w:rPr>
      </w:pPr>
      <w:r>
        <w:rPr>
          <w:rFonts w:hint="eastAsia" w:ascii="宋体" w:hAnsi="宋体" w:cs="宋体"/>
          <w:lang w:val="en-US" w:eastAsia="zh-CN"/>
        </w:rPr>
        <w:t>1.</w:t>
      </w:r>
      <w:r>
        <w:rPr>
          <w:rFonts w:hint="eastAsia" w:ascii="宋体" w:hAnsi="宋体" w:cs="宋体"/>
        </w:rPr>
        <w:t>本项目为厦门市医学院附属口腔医院集美院区小木屋消防改造设计、施工和消防安全评查服务采购项目，涉及设计、施工和评估过程中所需的一切设备或其他材料均由成交供应商支出，投标人须按招标文件要求提供相应服务，服务标准需遵循相关国家或行业标准。</w:t>
      </w:r>
    </w:p>
    <w:p w14:paraId="3F55B250">
      <w:pPr>
        <w:pStyle w:val="11"/>
        <w:widowControl/>
        <w:spacing w:line="360" w:lineRule="auto"/>
        <w:ind w:firstLine="480" w:firstLineChars="200"/>
        <w:rPr>
          <w:rFonts w:hint="eastAsia" w:ascii="宋体" w:hAnsi="宋体" w:cs="宋体"/>
        </w:rPr>
      </w:pPr>
      <w:r>
        <w:rPr>
          <w:rFonts w:hint="eastAsia" w:ascii="宋体" w:hAnsi="宋体" w:cs="宋体"/>
          <w:lang w:val="en-US" w:eastAsia="zh-CN"/>
        </w:rPr>
        <w:t>2.</w:t>
      </w:r>
      <w:r>
        <w:rPr>
          <w:rFonts w:hint="eastAsia" w:ascii="宋体" w:hAnsi="宋体" w:cs="宋体"/>
        </w:rPr>
        <w:t>设计、施工及评估检测范围：评估木屋区（约581㎡）</w:t>
      </w:r>
      <w:r>
        <w:rPr>
          <w:rFonts w:hint="eastAsia" w:ascii="宋体" w:hAnsi="宋体" w:cs="宋体"/>
          <w:lang w:eastAsia="zh-CN"/>
        </w:rPr>
        <w:t>（</w:t>
      </w:r>
      <w:r>
        <w:rPr>
          <w:rFonts w:hint="eastAsia" w:ascii="宋体" w:hAnsi="宋体" w:cs="宋体"/>
          <w:lang w:val="en-US" w:eastAsia="zh-CN"/>
        </w:rPr>
        <w:t>详见：</w:t>
      </w:r>
      <w:r>
        <w:rPr>
          <w:rFonts w:hint="eastAsia" w:ascii="宋体" w:hAnsi="宋体" w:cs="宋体"/>
        </w:rPr>
        <w:t>附件1集美小木屋平面图</w:t>
      </w:r>
      <w:r>
        <w:rPr>
          <w:rFonts w:hint="eastAsia" w:ascii="宋体" w:hAnsi="宋体" w:cs="宋体"/>
          <w:lang w:eastAsia="zh-CN"/>
        </w:rPr>
        <w:t>）</w:t>
      </w:r>
      <w:r>
        <w:rPr>
          <w:rFonts w:hint="eastAsia" w:ascii="宋体" w:hAnsi="宋体" w:cs="宋体"/>
        </w:rPr>
        <w:t>存在的火灾隐患，提出消防整改设计方案及清单（包含但不限于建筑平面、装修调整，增设自动喷水灭火系统、自救卷盘、火灾自动报警系统等），施工改造并最终取得消防安全评查合格报告（须上传至福建消防技术服务信息平台）。</w:t>
      </w:r>
    </w:p>
    <w:p w14:paraId="4EC8293A">
      <w:pPr>
        <w:keepNext w:val="0"/>
        <w:keepLines w:val="0"/>
        <w:pageBreakBefore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i w:val="0"/>
          <w:iCs w:val="0"/>
          <w:caps w:val="0"/>
          <w:spacing w:val="0"/>
          <w:sz w:val="24"/>
          <w:szCs w:val="24"/>
          <w:lang w:val="en-US" w:eastAsia="zh-CN"/>
        </w:rPr>
      </w:pPr>
      <w:r>
        <w:rPr>
          <w:rFonts w:hint="eastAsia" w:ascii="宋体" w:hAnsi="宋体" w:eastAsia="宋体" w:cs="宋体"/>
          <w:i w:val="0"/>
          <w:iCs w:val="0"/>
          <w:caps w:val="0"/>
          <w:spacing w:val="0"/>
          <w:sz w:val="24"/>
          <w:szCs w:val="24"/>
          <w:lang w:val="en-US" w:eastAsia="zh-CN"/>
        </w:rPr>
        <w:t xml:space="preserve">3. 现状说明：  </w:t>
      </w:r>
    </w:p>
    <w:p w14:paraId="2206E954">
      <w:pPr>
        <w:keepNext w:val="0"/>
        <w:keepLines w:val="0"/>
        <w:pageBreakBefore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i w:val="0"/>
          <w:iCs w:val="0"/>
          <w:caps w:val="0"/>
          <w:spacing w:val="0"/>
          <w:sz w:val="24"/>
          <w:szCs w:val="24"/>
          <w:lang w:val="en-US" w:eastAsia="zh-CN"/>
        </w:rPr>
      </w:pPr>
      <w:r>
        <w:rPr>
          <w:rFonts w:hint="eastAsia" w:ascii="宋体" w:hAnsi="宋体" w:eastAsia="宋体" w:cs="宋体"/>
          <w:i w:val="0"/>
          <w:iCs w:val="0"/>
          <w:caps w:val="0"/>
          <w:spacing w:val="0"/>
          <w:sz w:val="24"/>
          <w:szCs w:val="24"/>
          <w:lang w:val="en-US" w:eastAsia="zh-CN"/>
        </w:rPr>
        <w:t xml:space="preserve">   - 建筑结构：单层</w:t>
      </w:r>
      <w:r>
        <w:rPr>
          <w:rFonts w:hint="eastAsia" w:ascii="宋体" w:hAnsi="宋体" w:cs="宋体"/>
          <w:i w:val="0"/>
          <w:iCs w:val="0"/>
          <w:caps w:val="0"/>
          <w:spacing w:val="0"/>
          <w:sz w:val="24"/>
          <w:szCs w:val="24"/>
          <w:lang w:val="en-US" w:eastAsia="zh-CN"/>
        </w:rPr>
        <w:t>砖</w:t>
      </w:r>
      <w:r>
        <w:rPr>
          <w:rFonts w:hint="eastAsia" w:ascii="宋体" w:hAnsi="宋体" w:eastAsia="宋体" w:cs="宋体"/>
          <w:i w:val="0"/>
          <w:iCs w:val="0"/>
          <w:caps w:val="0"/>
          <w:spacing w:val="0"/>
          <w:sz w:val="24"/>
          <w:szCs w:val="24"/>
          <w:lang w:val="en-US" w:eastAsia="zh-CN"/>
        </w:rPr>
        <w:t>木</w:t>
      </w:r>
      <w:r>
        <w:rPr>
          <w:rFonts w:hint="eastAsia" w:ascii="宋体" w:hAnsi="宋体" w:cs="宋体"/>
          <w:i w:val="0"/>
          <w:iCs w:val="0"/>
          <w:caps w:val="0"/>
          <w:spacing w:val="0"/>
          <w:sz w:val="24"/>
          <w:szCs w:val="24"/>
          <w:lang w:val="en-US" w:eastAsia="zh-CN"/>
        </w:rPr>
        <w:t>架构</w:t>
      </w:r>
      <w:r>
        <w:rPr>
          <w:rFonts w:hint="eastAsia" w:ascii="宋体" w:hAnsi="宋体" w:eastAsia="宋体" w:cs="宋体"/>
          <w:i w:val="0"/>
          <w:iCs w:val="0"/>
          <w:caps w:val="0"/>
          <w:spacing w:val="0"/>
          <w:sz w:val="24"/>
          <w:szCs w:val="24"/>
          <w:lang w:val="en-US" w:eastAsia="zh-CN"/>
        </w:rPr>
        <w:t xml:space="preserve">，未设置消防报警系统、喷淋系统及其他消防设施；  </w:t>
      </w:r>
    </w:p>
    <w:p w14:paraId="1F8FE611">
      <w:pPr>
        <w:keepNext w:val="0"/>
        <w:keepLines w:val="0"/>
        <w:pageBreakBefore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i w:val="0"/>
          <w:iCs w:val="0"/>
          <w:caps w:val="0"/>
          <w:spacing w:val="0"/>
          <w:sz w:val="24"/>
          <w:szCs w:val="24"/>
          <w:lang w:val="en-US" w:eastAsia="zh-CN"/>
        </w:rPr>
      </w:pPr>
      <w:r>
        <w:rPr>
          <w:rFonts w:hint="eastAsia" w:ascii="宋体" w:hAnsi="宋体" w:eastAsia="宋体" w:cs="宋体"/>
          <w:i w:val="0"/>
          <w:iCs w:val="0"/>
          <w:caps w:val="0"/>
          <w:spacing w:val="0"/>
          <w:sz w:val="24"/>
          <w:szCs w:val="24"/>
          <w:lang w:val="en-US" w:eastAsia="zh-CN"/>
        </w:rPr>
        <w:t xml:space="preserve">   - 消防验收：未通过消防部门验收；  </w:t>
      </w:r>
    </w:p>
    <w:p w14:paraId="3E519C5C">
      <w:pPr>
        <w:keepNext w:val="0"/>
        <w:keepLines w:val="0"/>
        <w:pageBreakBefore w:val="0"/>
        <w:kinsoku/>
        <w:overflowPunct/>
        <w:topLinePunct w:val="0"/>
        <w:autoSpaceDE/>
        <w:autoSpaceDN/>
        <w:bidi w:val="0"/>
        <w:adjustRightInd/>
        <w:snapToGrid/>
        <w:spacing w:line="560" w:lineRule="exact"/>
        <w:ind w:firstLine="480" w:firstLineChars="200"/>
        <w:textAlignment w:val="auto"/>
        <w:rPr>
          <w:rFonts w:hint="eastAsia" w:ascii="宋体" w:hAnsi="宋体" w:cs="宋体"/>
        </w:rPr>
      </w:pPr>
      <w:r>
        <w:rPr>
          <w:rFonts w:hint="eastAsia" w:ascii="宋体" w:hAnsi="宋体" w:eastAsia="宋体" w:cs="宋体"/>
          <w:i w:val="0"/>
          <w:iCs w:val="0"/>
          <w:caps w:val="0"/>
          <w:spacing w:val="0"/>
          <w:sz w:val="24"/>
          <w:szCs w:val="24"/>
          <w:lang w:val="en-US" w:eastAsia="zh-CN"/>
        </w:rPr>
        <w:t xml:space="preserve">   - 改造目标：符合国家消防技术标准，确保建筑消防安全，</w:t>
      </w:r>
      <w:r>
        <w:rPr>
          <w:rFonts w:hint="eastAsia" w:ascii="宋体" w:hAnsi="宋体" w:cs="宋体"/>
          <w:i w:val="0"/>
          <w:iCs w:val="0"/>
          <w:caps w:val="0"/>
          <w:spacing w:val="0"/>
          <w:sz w:val="24"/>
          <w:szCs w:val="24"/>
          <w:lang w:val="en-US" w:eastAsia="zh-CN"/>
        </w:rPr>
        <w:t>消防安全评查合格</w:t>
      </w:r>
      <w:r>
        <w:rPr>
          <w:rFonts w:hint="eastAsia" w:ascii="宋体" w:hAnsi="宋体" w:eastAsia="宋体" w:cs="宋体"/>
          <w:i w:val="0"/>
          <w:iCs w:val="0"/>
          <w:caps w:val="0"/>
          <w:spacing w:val="0"/>
          <w:sz w:val="24"/>
          <w:szCs w:val="24"/>
          <w:lang w:val="en-US" w:eastAsia="zh-CN"/>
        </w:rPr>
        <w:t>。</w:t>
      </w:r>
    </w:p>
    <w:p w14:paraId="46BF894D">
      <w:pPr>
        <w:pStyle w:val="11"/>
        <w:widowControl/>
        <w:spacing w:line="480" w:lineRule="auto"/>
        <w:ind w:firstLine="482" w:firstLineChars="200"/>
        <w:rPr>
          <w:rFonts w:hint="eastAsia" w:ascii="宋体" w:hAnsi="宋体" w:cs="宋体"/>
          <w:b/>
        </w:rPr>
      </w:pPr>
      <w:r>
        <w:rPr>
          <w:rFonts w:hint="eastAsia" w:ascii="宋体" w:hAnsi="宋体" w:cs="宋体"/>
          <w:b/>
        </w:rPr>
        <w:t>二、技术和服务要求</w:t>
      </w:r>
    </w:p>
    <w:p w14:paraId="57E9BE0C">
      <w:pPr>
        <w:pStyle w:val="11"/>
        <w:widowControl/>
        <w:spacing w:line="480" w:lineRule="auto"/>
        <w:ind w:firstLine="482" w:firstLineChars="200"/>
        <w:rPr>
          <w:rFonts w:hint="eastAsia" w:ascii="宋体" w:hAnsi="宋体" w:cs="宋体"/>
          <w:b/>
        </w:rPr>
      </w:pPr>
      <w:r>
        <w:rPr>
          <w:rFonts w:hint="eastAsia" w:ascii="宋体" w:hAnsi="宋体" w:cs="宋体"/>
          <w:b/>
        </w:rPr>
        <w:t>本项目最高控制价9.9万</w:t>
      </w:r>
      <w:r>
        <w:rPr>
          <w:rFonts w:hint="eastAsia" w:ascii="宋体" w:hAnsi="宋体" w:cs="宋体"/>
          <w:b/>
          <w:lang w:val="en-US" w:eastAsia="zh-CN"/>
        </w:rPr>
        <w:t>（含涉及、施工、验收、第三方检测等费用）</w:t>
      </w:r>
    </w:p>
    <w:p w14:paraId="470B727D">
      <w:pPr>
        <w:pStyle w:val="11"/>
        <w:widowControl/>
        <w:spacing w:line="480" w:lineRule="auto"/>
        <w:ind w:firstLine="482" w:firstLineChars="200"/>
        <w:rPr>
          <w:rFonts w:hint="eastAsia" w:ascii="宋体" w:hAnsi="宋体" w:cs="宋体"/>
          <w:b/>
          <w:bCs/>
        </w:rPr>
      </w:pPr>
      <w:r>
        <w:rPr>
          <w:rFonts w:hint="eastAsia" w:ascii="宋体" w:hAnsi="宋体" w:cs="宋体"/>
          <w:b/>
          <w:bCs/>
        </w:rPr>
        <w:t>1、招标工程（项目）如下表所示：</w:t>
      </w:r>
    </w:p>
    <w:tbl>
      <w:tblPr>
        <w:tblStyle w:val="13"/>
        <w:tblpPr w:leftFromText="180" w:rightFromText="180" w:vertAnchor="text" w:horzAnchor="margin" w:tblpX="108" w:tblpY="406"/>
        <w:tblOverlap w:val="never"/>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817"/>
        <w:gridCol w:w="4820"/>
        <w:gridCol w:w="1984"/>
      </w:tblGrid>
      <w:tr w14:paraId="0C01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1451" w:type="dxa"/>
            <w:tcBorders>
              <w:top w:val="single" w:color="auto" w:sz="4" w:space="0"/>
              <w:left w:val="single" w:color="auto" w:sz="4" w:space="0"/>
              <w:bottom w:val="single" w:color="auto" w:sz="4" w:space="0"/>
              <w:right w:val="single" w:color="auto" w:sz="4" w:space="0"/>
            </w:tcBorders>
            <w:vAlign w:val="center"/>
          </w:tcPr>
          <w:p w14:paraId="0CBEF52A">
            <w:pPr>
              <w:pStyle w:val="7"/>
              <w:spacing w:line="240" w:lineRule="atLeast"/>
              <w:jc w:val="center"/>
              <w:rPr>
                <w:rFonts w:hint="eastAsia" w:asciiTheme="minorEastAsia" w:hAnsiTheme="minorEastAsia" w:eastAsiaTheme="minorEastAsia"/>
              </w:rPr>
            </w:pPr>
            <w:bookmarkStart w:id="1" w:name="_Toc15623"/>
            <w:r>
              <w:rPr>
                <w:rFonts w:hint="eastAsia" w:asciiTheme="minorEastAsia" w:hAnsiTheme="minorEastAsia" w:eastAsiaTheme="minorEastAsia"/>
              </w:rPr>
              <w:t>项目名称</w:t>
            </w:r>
          </w:p>
        </w:tc>
        <w:tc>
          <w:tcPr>
            <w:tcW w:w="817" w:type="dxa"/>
            <w:tcBorders>
              <w:top w:val="single" w:color="auto" w:sz="4" w:space="0"/>
              <w:left w:val="single" w:color="auto" w:sz="4" w:space="0"/>
              <w:bottom w:val="single" w:color="auto" w:sz="4" w:space="0"/>
              <w:right w:val="single" w:color="auto" w:sz="4" w:space="0"/>
            </w:tcBorders>
            <w:vAlign w:val="center"/>
          </w:tcPr>
          <w:p w14:paraId="14D006C8">
            <w:pPr>
              <w:pStyle w:val="7"/>
              <w:spacing w:line="240" w:lineRule="atLeast"/>
              <w:jc w:val="center"/>
              <w:rPr>
                <w:rFonts w:hint="eastAsia" w:asciiTheme="minorEastAsia" w:hAnsiTheme="minorEastAsia" w:eastAsiaTheme="minorEastAsia"/>
              </w:rPr>
            </w:pPr>
            <w:r>
              <w:rPr>
                <w:rFonts w:hint="eastAsia" w:asciiTheme="minorEastAsia" w:hAnsiTheme="minorEastAsia" w:eastAsiaTheme="minorEastAsia"/>
              </w:rPr>
              <w:t>数量</w:t>
            </w:r>
          </w:p>
        </w:tc>
        <w:tc>
          <w:tcPr>
            <w:tcW w:w="4820" w:type="dxa"/>
            <w:tcBorders>
              <w:top w:val="single" w:color="auto" w:sz="4" w:space="0"/>
              <w:left w:val="single" w:color="auto" w:sz="4" w:space="0"/>
              <w:bottom w:val="single" w:color="auto" w:sz="4" w:space="0"/>
              <w:right w:val="single" w:color="auto" w:sz="4" w:space="0"/>
            </w:tcBorders>
            <w:vAlign w:val="center"/>
          </w:tcPr>
          <w:p w14:paraId="0BA0D4D1">
            <w:pPr>
              <w:pStyle w:val="7"/>
              <w:spacing w:line="240" w:lineRule="atLeast"/>
              <w:jc w:val="center"/>
              <w:rPr>
                <w:rFonts w:hint="eastAsia" w:asciiTheme="minorEastAsia" w:hAnsiTheme="minorEastAsia" w:eastAsiaTheme="minorEastAsia"/>
              </w:rPr>
            </w:pPr>
            <w:r>
              <w:rPr>
                <w:rFonts w:hint="eastAsia" w:asciiTheme="minorEastAsia" w:hAnsiTheme="minorEastAsia" w:eastAsiaTheme="minorEastAsia"/>
              </w:rPr>
              <w:t>主要技术规格和服务要求</w:t>
            </w:r>
          </w:p>
        </w:tc>
        <w:tc>
          <w:tcPr>
            <w:tcW w:w="1984" w:type="dxa"/>
            <w:tcBorders>
              <w:top w:val="single" w:color="auto" w:sz="4" w:space="0"/>
              <w:left w:val="single" w:color="auto" w:sz="4" w:space="0"/>
              <w:bottom w:val="single" w:color="auto" w:sz="4" w:space="0"/>
              <w:right w:val="single" w:color="auto" w:sz="4" w:space="0"/>
            </w:tcBorders>
            <w:vAlign w:val="center"/>
          </w:tcPr>
          <w:p w14:paraId="34110535">
            <w:pPr>
              <w:pStyle w:val="7"/>
              <w:spacing w:line="240" w:lineRule="atLeast"/>
              <w:jc w:val="center"/>
              <w:rPr>
                <w:rFonts w:hint="eastAsia" w:asciiTheme="minorEastAsia" w:hAnsiTheme="minorEastAsia" w:eastAsiaTheme="minorEastAsia"/>
              </w:rPr>
            </w:pPr>
            <w:r>
              <w:rPr>
                <w:rFonts w:hint="eastAsia" w:asciiTheme="minorEastAsia" w:hAnsiTheme="minorEastAsia" w:eastAsiaTheme="minorEastAsia"/>
              </w:rPr>
              <w:t>工期</w:t>
            </w:r>
          </w:p>
        </w:tc>
      </w:tr>
      <w:tr w14:paraId="762D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0" w:hRule="atLeast"/>
        </w:trPr>
        <w:tc>
          <w:tcPr>
            <w:tcW w:w="1451" w:type="dxa"/>
            <w:tcBorders>
              <w:top w:val="single" w:color="auto" w:sz="4" w:space="0"/>
              <w:left w:val="single" w:color="auto" w:sz="4" w:space="0"/>
              <w:bottom w:val="single" w:color="auto" w:sz="4" w:space="0"/>
              <w:right w:val="single" w:color="auto" w:sz="4" w:space="0"/>
            </w:tcBorders>
            <w:vAlign w:val="center"/>
          </w:tcPr>
          <w:p w14:paraId="3297CFDE">
            <w:pPr>
              <w:pStyle w:val="7"/>
              <w:spacing w:line="240" w:lineRule="atLeast"/>
              <w:rPr>
                <w:rFonts w:hint="eastAsia" w:hAnsi="宋体" w:cs="宋体"/>
                <w:sz w:val="24"/>
                <w:szCs w:val="24"/>
              </w:rPr>
            </w:pPr>
            <w:r>
              <w:rPr>
                <w:rFonts w:hint="eastAsia" w:hAnsi="宋体" w:cs="宋体"/>
                <w:sz w:val="24"/>
                <w:szCs w:val="24"/>
              </w:rPr>
              <w:t>集美院区小木屋消防改造设计、施工和消防安全评估</w:t>
            </w:r>
          </w:p>
        </w:tc>
        <w:tc>
          <w:tcPr>
            <w:tcW w:w="817" w:type="dxa"/>
            <w:tcBorders>
              <w:top w:val="single" w:color="auto" w:sz="4" w:space="0"/>
              <w:left w:val="single" w:color="auto" w:sz="4" w:space="0"/>
              <w:bottom w:val="single" w:color="auto" w:sz="4" w:space="0"/>
              <w:right w:val="single" w:color="auto" w:sz="4" w:space="0"/>
            </w:tcBorders>
            <w:vAlign w:val="center"/>
          </w:tcPr>
          <w:p w14:paraId="050E5743">
            <w:pPr>
              <w:pStyle w:val="7"/>
              <w:spacing w:line="240" w:lineRule="atLeast"/>
              <w:jc w:val="center"/>
              <w:rPr>
                <w:rFonts w:hint="eastAsia" w:hAnsi="宋体" w:cs="宋体"/>
                <w:color w:val="FF0000"/>
                <w:sz w:val="24"/>
                <w:szCs w:val="24"/>
                <w:lang w:bidi="en-US"/>
              </w:rPr>
            </w:pPr>
            <w:r>
              <w:rPr>
                <w:rFonts w:hint="eastAsia" w:hAnsi="宋体" w:cs="宋体"/>
                <w:sz w:val="24"/>
                <w:szCs w:val="24"/>
              </w:rPr>
              <w:t>1项</w:t>
            </w:r>
          </w:p>
        </w:tc>
        <w:tc>
          <w:tcPr>
            <w:tcW w:w="4820" w:type="dxa"/>
            <w:tcBorders>
              <w:top w:val="single" w:color="auto" w:sz="4" w:space="0"/>
              <w:left w:val="single" w:color="auto" w:sz="4" w:space="0"/>
              <w:bottom w:val="single" w:color="auto" w:sz="4" w:space="0"/>
              <w:right w:val="single" w:color="auto" w:sz="4" w:space="0"/>
            </w:tcBorders>
            <w:vAlign w:val="center"/>
          </w:tcPr>
          <w:p w14:paraId="4F8D600E">
            <w:pPr>
              <w:pStyle w:val="23"/>
              <w:rPr>
                <w:rFonts w:hint="eastAsia" w:ascii="宋体" w:hAnsi="宋体" w:cs="宋体"/>
                <w:sz w:val="24"/>
              </w:rPr>
            </w:pPr>
            <w:r>
              <w:rPr>
                <w:rFonts w:hint="eastAsia" w:ascii="宋体" w:hAnsi="宋体" w:cs="宋体"/>
                <w:sz w:val="24"/>
              </w:rPr>
              <w:t>（1）中标人对木屋消防安全状况进行摸排，提出改造符合消防技术标准的设计方案；</w:t>
            </w:r>
          </w:p>
          <w:p w14:paraId="027E9F76">
            <w:pPr>
              <w:pStyle w:val="23"/>
              <w:rPr>
                <w:rFonts w:hint="eastAsia" w:ascii="宋体" w:hAnsi="宋体" w:cs="宋体"/>
                <w:sz w:val="24"/>
              </w:rPr>
            </w:pPr>
            <w:r>
              <w:rPr>
                <w:rFonts w:hint="eastAsia" w:ascii="宋体" w:hAnsi="宋体" w:cs="宋体"/>
                <w:sz w:val="24"/>
              </w:rPr>
              <w:t>（2）设计方案确认后，中标人制作工程量清单，计价计量应符合相关要求；</w:t>
            </w:r>
          </w:p>
          <w:p w14:paraId="23CB8E3F">
            <w:pPr>
              <w:pStyle w:val="23"/>
              <w:rPr>
                <w:rFonts w:hint="eastAsia" w:ascii="宋体" w:hAnsi="宋体" w:cs="宋体"/>
                <w:sz w:val="24"/>
              </w:rPr>
            </w:pPr>
            <w:r>
              <w:rPr>
                <w:rFonts w:hint="eastAsia" w:ascii="宋体" w:hAnsi="宋体" w:cs="宋体"/>
                <w:sz w:val="24"/>
              </w:rPr>
              <w:t>（3）中标人根据设计方案和工程量清单对木屋进行装修、消防改造，工程质量标准应符合国家现行规范；</w:t>
            </w:r>
          </w:p>
          <w:p w14:paraId="23199AA8">
            <w:pPr>
              <w:pStyle w:val="23"/>
              <w:rPr>
                <w:rFonts w:hint="eastAsia" w:ascii="宋体" w:hAnsi="宋体" w:cs="宋体"/>
                <w:sz w:val="24"/>
              </w:rPr>
            </w:pPr>
            <w:r>
              <w:rPr>
                <w:rFonts w:hint="eastAsia" w:ascii="宋体" w:hAnsi="宋体" w:cs="宋体"/>
                <w:sz w:val="24"/>
              </w:rPr>
              <w:t>（4）完成施工后，中标人负责组织第三方对改造后的小木屋进行消防安全评查，并将消防安全评查合格报告上传至福建消防技术服务信息平台。</w:t>
            </w:r>
          </w:p>
        </w:tc>
        <w:tc>
          <w:tcPr>
            <w:tcW w:w="1984" w:type="dxa"/>
            <w:tcBorders>
              <w:top w:val="single" w:color="auto" w:sz="4" w:space="0"/>
              <w:left w:val="single" w:color="auto" w:sz="4" w:space="0"/>
              <w:bottom w:val="single" w:color="auto" w:sz="4" w:space="0"/>
              <w:right w:val="single" w:color="auto" w:sz="4" w:space="0"/>
            </w:tcBorders>
            <w:vAlign w:val="center"/>
          </w:tcPr>
          <w:p w14:paraId="284EE82A">
            <w:pPr>
              <w:pStyle w:val="7"/>
              <w:spacing w:line="240" w:lineRule="atLeast"/>
              <w:rPr>
                <w:rFonts w:hint="eastAsia" w:hAnsi="宋体" w:cs="宋体"/>
                <w:sz w:val="24"/>
                <w:szCs w:val="24"/>
              </w:rPr>
            </w:pPr>
            <w:r>
              <w:rPr>
                <w:rFonts w:hint="eastAsia" w:hAnsi="宋体" w:cs="宋体"/>
                <w:color w:val="000000"/>
                <w:sz w:val="24"/>
                <w:szCs w:val="24"/>
                <w:shd w:val="clear" w:color="auto" w:fill="FFFFFF"/>
              </w:rPr>
              <w:t>合同签订后30个日历日内竣工并出具消防安全评查报告。</w:t>
            </w:r>
          </w:p>
        </w:tc>
      </w:tr>
    </w:tbl>
    <w:p w14:paraId="5DBE5C73">
      <w:pPr>
        <w:spacing w:line="380" w:lineRule="exact"/>
        <w:jc w:val="center"/>
        <w:outlineLvl w:val="1"/>
        <w:rPr>
          <w:b/>
          <w:sz w:val="32"/>
        </w:rPr>
      </w:pPr>
      <w:r>
        <w:rPr>
          <w:rFonts w:hint="eastAsia"/>
          <w:b/>
          <w:sz w:val="32"/>
        </w:rPr>
        <w:t>招标工程（项目）一览表</w:t>
      </w:r>
      <w:bookmarkEnd w:id="1"/>
    </w:p>
    <w:p w14:paraId="0F58029A">
      <w:pPr>
        <w:pStyle w:val="7"/>
        <w:tabs>
          <w:tab w:val="left" w:pos="8360"/>
        </w:tabs>
        <w:spacing w:line="360" w:lineRule="auto"/>
        <w:rPr>
          <w:rFonts w:hint="eastAsia" w:hAnsi="宋体"/>
          <w:b/>
          <w:sz w:val="24"/>
          <w:szCs w:val="24"/>
        </w:rPr>
      </w:pPr>
      <w:r>
        <w:rPr>
          <w:rFonts w:hint="eastAsia" w:hAnsi="宋体"/>
          <w:b/>
          <w:sz w:val="24"/>
          <w:szCs w:val="24"/>
        </w:rPr>
        <w:t>备注：</w:t>
      </w:r>
    </w:p>
    <w:p w14:paraId="3E688DC9">
      <w:pPr>
        <w:pStyle w:val="7"/>
        <w:numPr>
          <w:ilvl w:val="0"/>
          <w:numId w:val="1"/>
        </w:numPr>
        <w:tabs>
          <w:tab w:val="left" w:pos="8360"/>
        </w:tabs>
        <w:spacing w:line="360" w:lineRule="auto"/>
        <w:rPr>
          <w:rFonts w:hint="eastAsia" w:hAnsi="宋体"/>
          <w:b/>
          <w:sz w:val="24"/>
          <w:szCs w:val="24"/>
        </w:rPr>
      </w:pPr>
      <w:r>
        <w:rPr>
          <w:rFonts w:hint="eastAsia" w:hAnsi="宋体"/>
          <w:b/>
          <w:sz w:val="24"/>
          <w:szCs w:val="24"/>
        </w:rPr>
        <w:t>本次招标为木屋消防改造设计、施工和消防安全评查整体招标,投标人中标后须进行现场勘察、制作改造方案和工程量清单等相关资料，该项费用由中标单位自行承担。</w:t>
      </w:r>
    </w:p>
    <w:p w14:paraId="4C142891">
      <w:pPr>
        <w:pStyle w:val="7"/>
        <w:numPr>
          <w:ilvl w:val="0"/>
          <w:numId w:val="1"/>
        </w:numPr>
        <w:tabs>
          <w:tab w:val="left" w:pos="8360"/>
        </w:tabs>
        <w:spacing w:line="360" w:lineRule="auto"/>
        <w:rPr>
          <w:rFonts w:hint="eastAsia" w:hAnsi="宋体"/>
          <w:b/>
          <w:sz w:val="24"/>
          <w:szCs w:val="24"/>
        </w:rPr>
      </w:pPr>
      <w:r>
        <w:rPr>
          <w:rFonts w:hint="eastAsia" w:hAnsi="宋体"/>
          <w:b/>
          <w:sz w:val="24"/>
          <w:szCs w:val="24"/>
        </w:rPr>
        <w:t>本项目为风险包干总价合同，招标人不再做价款增补。</w:t>
      </w:r>
    </w:p>
    <w:p w14:paraId="281E877F">
      <w:pPr>
        <w:pStyle w:val="7"/>
        <w:numPr>
          <w:ilvl w:val="0"/>
          <w:numId w:val="1"/>
        </w:numPr>
        <w:tabs>
          <w:tab w:val="left" w:pos="8360"/>
        </w:tabs>
        <w:spacing w:line="360" w:lineRule="auto"/>
        <w:rPr>
          <w:rFonts w:hint="eastAsia" w:hAnsi="宋体"/>
          <w:b/>
          <w:sz w:val="24"/>
          <w:szCs w:val="24"/>
        </w:rPr>
      </w:pPr>
      <w:r>
        <w:rPr>
          <w:rFonts w:hint="eastAsia" w:hAnsi="宋体"/>
          <w:b/>
          <w:sz w:val="24"/>
          <w:szCs w:val="24"/>
        </w:rPr>
        <w:t>本项目（不接受）联合体投标。</w:t>
      </w:r>
    </w:p>
    <w:p w14:paraId="2279C48E">
      <w:pPr>
        <w:pStyle w:val="11"/>
        <w:widowControl/>
        <w:spacing w:line="480" w:lineRule="auto"/>
        <w:ind w:firstLine="482" w:firstLineChars="200"/>
        <w:rPr>
          <w:rFonts w:hint="eastAsia" w:ascii="宋体" w:hAnsi="宋体" w:cs="宋体"/>
          <w:b/>
          <w:bCs/>
        </w:rPr>
      </w:pPr>
      <w:r>
        <w:rPr>
          <w:rFonts w:hint="eastAsia" w:ascii="宋体" w:hAnsi="宋体" w:cs="宋体"/>
          <w:b/>
          <w:bCs/>
        </w:rPr>
        <w:t>2、服务要求：</w:t>
      </w:r>
    </w:p>
    <w:p w14:paraId="2C3E0C37">
      <w:pPr>
        <w:pStyle w:val="11"/>
        <w:widowControl/>
        <w:spacing w:line="480" w:lineRule="auto"/>
        <w:ind w:firstLine="480" w:firstLineChars="200"/>
        <w:rPr>
          <w:rFonts w:hint="eastAsia" w:ascii="宋体" w:hAnsi="宋体" w:cs="宋体"/>
        </w:rPr>
      </w:pPr>
      <w:r>
        <w:rPr>
          <w:rFonts w:hint="eastAsia" w:ascii="宋体" w:hAnsi="宋体" w:cs="宋体"/>
        </w:rPr>
        <w:t>2.1文明施工：施工前做好成品保护，施工后做好保洁，服从统一管理。</w:t>
      </w:r>
    </w:p>
    <w:p w14:paraId="129C736C">
      <w:pPr>
        <w:pStyle w:val="11"/>
        <w:widowControl/>
        <w:spacing w:line="480" w:lineRule="auto"/>
        <w:ind w:firstLine="480" w:firstLineChars="200"/>
        <w:rPr>
          <w:rFonts w:hint="eastAsia" w:ascii="宋体" w:hAnsi="宋体" w:cs="宋体"/>
        </w:rPr>
      </w:pPr>
      <w:r>
        <w:rPr>
          <w:rFonts w:hint="eastAsia" w:ascii="宋体" w:hAnsi="宋体" w:cs="宋体"/>
        </w:rPr>
        <w:t>2.2中标人提供的货物及材料必须是正规合格、品质优良的产品，技术规格、安装标准及技术规范等必须符合国家和行业规定标准、规范要求。</w:t>
      </w:r>
    </w:p>
    <w:p w14:paraId="7CB35F21">
      <w:pPr>
        <w:pStyle w:val="11"/>
        <w:widowControl/>
        <w:spacing w:line="480" w:lineRule="auto"/>
        <w:ind w:firstLine="480" w:firstLineChars="200"/>
        <w:rPr>
          <w:rFonts w:hint="eastAsia" w:ascii="宋体" w:hAnsi="宋体" w:cs="宋体"/>
        </w:rPr>
      </w:pPr>
      <w:r>
        <w:rPr>
          <w:rFonts w:hint="eastAsia" w:ascii="宋体" w:hAnsi="宋体" w:cs="宋体"/>
        </w:rPr>
        <w:t>2.3包工包料，不得转包，未经采购人允许不得分包。</w:t>
      </w:r>
    </w:p>
    <w:p w14:paraId="0C66E1A7">
      <w:pPr>
        <w:pStyle w:val="11"/>
        <w:widowControl/>
        <w:spacing w:line="480" w:lineRule="auto"/>
        <w:ind w:firstLine="480" w:firstLineChars="200"/>
        <w:rPr>
          <w:rFonts w:hint="eastAsia" w:ascii="宋体" w:hAnsi="宋体" w:cs="宋体"/>
        </w:rPr>
      </w:pPr>
      <w:r>
        <w:rPr>
          <w:rFonts w:hint="eastAsia" w:ascii="宋体" w:hAnsi="宋体" w:cs="宋体"/>
        </w:rPr>
        <w:t>2.4本工程质量标准，必须达到国家现行的《工程施工质量验收规范》要求的合格标准。</w:t>
      </w:r>
    </w:p>
    <w:p w14:paraId="564417F1">
      <w:pPr>
        <w:pStyle w:val="11"/>
        <w:widowControl/>
        <w:spacing w:line="480" w:lineRule="auto"/>
        <w:ind w:firstLine="480" w:firstLineChars="200"/>
        <w:rPr>
          <w:rFonts w:hint="eastAsia" w:ascii="宋体" w:hAnsi="宋体" w:cs="宋体"/>
        </w:rPr>
      </w:pPr>
      <w:r>
        <w:rPr>
          <w:rFonts w:hint="eastAsia" w:ascii="宋体" w:hAnsi="宋体" w:cs="宋体"/>
        </w:rPr>
        <w:t>2.5中标人应遵守工程建设安全生产有关管理规定，严格按安全标准组织施工，采取必要的安全防护措施，消除事故隐患，并随时接受行业安全检查人员依法实施的监督检查。由于中标人安全措施不力，造成事故的责任和因此发生的费用，由中标人自行承担。</w:t>
      </w:r>
    </w:p>
    <w:p w14:paraId="46AE54EC">
      <w:pPr>
        <w:pStyle w:val="11"/>
        <w:widowControl/>
        <w:spacing w:line="480" w:lineRule="auto"/>
        <w:ind w:firstLine="480" w:firstLineChars="200"/>
        <w:rPr>
          <w:rFonts w:hint="eastAsia" w:ascii="宋体" w:hAnsi="宋体" w:cs="宋体"/>
        </w:rPr>
      </w:pPr>
      <w:r>
        <w:rPr>
          <w:rFonts w:hint="eastAsia" w:ascii="宋体" w:hAnsi="宋体" w:cs="宋体"/>
        </w:rPr>
        <w:t>2.6中标人应采取合理的施工组织及安全措施，严格现场管理制度，加大安全设施投入以确保施工安全，若因施工组织不合理、安全措施不合理、安全管理不到位、安全设施投入不足引起的一切后果，由中标人自行承担。</w:t>
      </w:r>
    </w:p>
    <w:p w14:paraId="697BB53B">
      <w:pPr>
        <w:pStyle w:val="11"/>
        <w:widowControl/>
        <w:spacing w:line="480" w:lineRule="auto"/>
        <w:ind w:firstLine="480" w:firstLineChars="200"/>
        <w:rPr>
          <w:rFonts w:hint="eastAsia" w:ascii="宋体" w:hAnsi="宋体" w:cs="宋体"/>
        </w:rPr>
      </w:pPr>
      <w:r>
        <w:rPr>
          <w:rFonts w:hint="eastAsia" w:ascii="宋体" w:hAnsi="宋体" w:cs="宋体"/>
        </w:rPr>
        <w:t>2.7文明施工要求：按厦门市有关安全生产、文明施工和城市管理的规定执行。</w:t>
      </w:r>
    </w:p>
    <w:p w14:paraId="3452F524">
      <w:pPr>
        <w:pStyle w:val="11"/>
        <w:widowControl/>
        <w:spacing w:line="480" w:lineRule="auto"/>
        <w:ind w:firstLine="482" w:firstLineChars="200"/>
        <w:rPr>
          <w:rFonts w:hint="eastAsia" w:ascii="宋体" w:hAnsi="宋体" w:cs="宋体"/>
          <w:b/>
          <w:bCs/>
        </w:rPr>
      </w:pPr>
      <w:r>
        <w:rPr>
          <w:rFonts w:hint="eastAsia" w:ascii="宋体" w:hAnsi="宋体" w:cs="宋体"/>
          <w:b/>
          <w:bCs/>
        </w:rPr>
        <w:t>3、验收条件及标准</w:t>
      </w:r>
    </w:p>
    <w:p w14:paraId="27392EF6">
      <w:pPr>
        <w:pStyle w:val="11"/>
        <w:widowControl/>
        <w:spacing w:line="360" w:lineRule="auto"/>
        <w:ind w:firstLine="480" w:firstLineChars="200"/>
        <w:rPr>
          <w:rFonts w:hint="eastAsia" w:ascii="宋体" w:hAnsi="宋体" w:cs="宋体"/>
        </w:rPr>
      </w:pPr>
      <w:r>
        <w:rPr>
          <w:rFonts w:hint="eastAsia" w:ascii="宋体" w:hAnsi="宋体" w:cs="宋体"/>
        </w:rPr>
        <w:t>3.1、投标人根据采购要求及现场踏勘实际情况进行施工，施工完毕后，由中标人组织第三方对木屋进行消防安全评查，评查报告应上传至福建消防技术服务信息平台。评查结果须为合格。</w:t>
      </w:r>
    </w:p>
    <w:p w14:paraId="2A5AD500">
      <w:pPr>
        <w:pStyle w:val="11"/>
        <w:widowControl/>
        <w:spacing w:line="360" w:lineRule="auto"/>
        <w:ind w:firstLine="480" w:firstLineChars="200"/>
        <w:rPr>
          <w:rFonts w:hint="eastAsia" w:ascii="宋体" w:hAnsi="宋体" w:cs="宋体"/>
        </w:rPr>
      </w:pPr>
      <w:r>
        <w:rPr>
          <w:rFonts w:hint="eastAsia" w:ascii="宋体" w:hAnsi="宋体" w:cs="宋体"/>
        </w:rPr>
        <w:t>3.2、设计、施工及消防安全评查应按国家有关的规定、规范进行。</w:t>
      </w:r>
    </w:p>
    <w:p w14:paraId="1BB3FBF8">
      <w:pPr>
        <w:pStyle w:val="11"/>
        <w:widowControl/>
        <w:spacing w:line="360" w:lineRule="auto"/>
        <w:ind w:firstLine="480" w:firstLineChars="200"/>
        <w:rPr>
          <w:rFonts w:hint="eastAsia" w:ascii="宋体" w:hAnsi="宋体" w:cs="宋体"/>
        </w:rPr>
      </w:pPr>
      <w:r>
        <w:rPr>
          <w:rFonts w:hint="eastAsia" w:ascii="宋体" w:hAnsi="宋体" w:cs="宋体"/>
        </w:rPr>
        <w:t>3.3、采购人有权拒绝接受任何不合格的项目和设备，由此产生的费用及相关后果均由中标人自行承担。</w:t>
      </w:r>
    </w:p>
    <w:p w14:paraId="51756BF9">
      <w:pPr>
        <w:pStyle w:val="11"/>
        <w:widowControl/>
        <w:spacing w:line="480" w:lineRule="auto"/>
        <w:ind w:firstLine="482" w:firstLineChars="200"/>
        <w:rPr>
          <w:rFonts w:hint="eastAsia" w:ascii="宋体" w:hAnsi="宋体" w:cs="宋体"/>
          <w:b/>
          <w:bCs/>
        </w:rPr>
      </w:pPr>
      <w:r>
        <w:rPr>
          <w:rFonts w:hint="eastAsia" w:ascii="宋体" w:hAnsi="宋体" w:cs="宋体"/>
          <w:b/>
          <w:bCs/>
        </w:rPr>
        <w:t>4、现场勘查</w:t>
      </w:r>
    </w:p>
    <w:p w14:paraId="61B37ACB">
      <w:pPr>
        <w:pStyle w:val="11"/>
        <w:widowControl/>
        <w:spacing w:line="360" w:lineRule="auto"/>
        <w:ind w:firstLine="480" w:firstLineChars="200"/>
        <w:rPr>
          <w:rFonts w:hint="eastAsia" w:ascii="宋体" w:hAnsi="宋体" w:cs="宋体"/>
          <w:color w:val="auto"/>
        </w:rPr>
      </w:pPr>
      <w:r>
        <w:rPr>
          <w:rFonts w:hint="eastAsia" w:ascii="宋体" w:hAnsi="宋体" w:cs="宋体"/>
          <w:color w:val="auto"/>
        </w:rPr>
        <w:t>4.1、本项目采购人统一组织集中现场踏勘，</w:t>
      </w:r>
      <w:r>
        <w:rPr>
          <w:rFonts w:hint="eastAsia" w:ascii="宋体" w:hAnsi="宋体" w:cs="宋体"/>
          <w:color w:val="auto"/>
          <w:lang w:val="en-US" w:eastAsia="zh-CN"/>
        </w:rPr>
        <w:t>勘探时间2025年4月9日上午10点整，勘探联系人陈煜鑫，联系电话15805933230</w:t>
      </w:r>
      <w:r>
        <w:rPr>
          <w:rFonts w:hint="eastAsia" w:ascii="宋体" w:hAnsi="宋体" w:cs="宋体"/>
          <w:color w:val="auto"/>
        </w:rPr>
        <w:t>投标人应自行承担踏勘现场所发生的费用。</w:t>
      </w:r>
    </w:p>
    <w:p w14:paraId="05A117AB">
      <w:pPr>
        <w:pStyle w:val="11"/>
        <w:widowControl/>
        <w:spacing w:line="360" w:lineRule="auto"/>
        <w:ind w:firstLine="480" w:firstLineChars="200"/>
        <w:rPr>
          <w:rFonts w:hint="eastAsia" w:ascii="宋体" w:hAnsi="宋体" w:cs="宋体"/>
          <w:color w:val="000000"/>
        </w:rPr>
      </w:pPr>
      <w:r>
        <w:rPr>
          <w:rFonts w:hint="eastAsia" w:ascii="宋体" w:hAnsi="宋体" w:cs="宋体"/>
        </w:rPr>
        <w:t>4.2</w:t>
      </w:r>
      <w:r>
        <w:rPr>
          <w:rFonts w:hint="eastAsia" w:ascii="宋体" w:hAnsi="宋体" w:cs="宋体"/>
          <w:color w:val="000000"/>
        </w:rPr>
        <w:t>采购人向投标人提供的有关现场的资料和数据，是采购人现有的能被投标人利用的资料。采购人对投标人做出的理解、推论和结论均不负责任。</w:t>
      </w:r>
    </w:p>
    <w:p w14:paraId="216FE2E8">
      <w:pPr>
        <w:pStyle w:val="11"/>
        <w:widowControl/>
        <w:spacing w:line="360" w:lineRule="auto"/>
        <w:ind w:firstLine="480" w:firstLineChars="200"/>
        <w:rPr>
          <w:rFonts w:hint="eastAsia" w:ascii="宋体" w:hAnsi="宋体" w:cs="宋体"/>
          <w:color w:val="000000"/>
        </w:rPr>
      </w:pPr>
      <w:r>
        <w:rPr>
          <w:rFonts w:hint="eastAsia" w:ascii="宋体" w:hAnsi="宋体" w:cs="宋体"/>
          <w:color w:val="000000"/>
        </w:rPr>
        <w:t>4.3投标人投标报价前应自行对工程现场及周围环境进行踏勘，在项目采购过程中，采购人认为投标人均已了解工程现场及周围环境情况，投标人应对工程现场及周围环境情况负责，投标人须自行协调好建设地相关方面的关系，由此产生的工期延误，采购人将不予签证。</w:t>
      </w:r>
    </w:p>
    <w:p w14:paraId="690A2D39">
      <w:pPr>
        <w:pStyle w:val="11"/>
        <w:widowControl/>
        <w:spacing w:line="360" w:lineRule="auto"/>
        <w:ind w:firstLine="480" w:firstLineChars="200"/>
        <w:rPr>
          <w:rFonts w:hint="eastAsia" w:ascii="宋体" w:hAnsi="宋体" w:cs="宋体"/>
        </w:rPr>
      </w:pPr>
      <w:r>
        <w:rPr>
          <w:rFonts w:hint="eastAsia" w:ascii="宋体" w:hAnsi="宋体" w:cs="宋体"/>
          <w:color w:val="000000"/>
        </w:rPr>
        <w:t>4.4投标人通过项目现场踏勘，熟悉并能正确理解项目服务需求对本项目施工的重点、难点，提出相应的对策、措施。</w:t>
      </w:r>
    </w:p>
    <w:p w14:paraId="25A45C7F">
      <w:pPr>
        <w:pStyle w:val="11"/>
        <w:widowControl/>
        <w:spacing w:line="480" w:lineRule="auto"/>
        <w:ind w:firstLine="482" w:firstLineChars="200"/>
        <w:rPr>
          <w:rFonts w:hint="eastAsia" w:ascii="宋体" w:hAnsi="宋体" w:cs="宋体"/>
          <w:b/>
        </w:rPr>
      </w:pPr>
      <w:r>
        <w:rPr>
          <w:rFonts w:hint="eastAsia" w:ascii="宋体" w:hAnsi="宋体" w:cs="宋体"/>
          <w:b/>
        </w:rPr>
        <w:t>三、商务条件</w:t>
      </w:r>
    </w:p>
    <w:p w14:paraId="5060ADB4">
      <w:pPr>
        <w:pStyle w:val="11"/>
        <w:widowControl/>
        <w:spacing w:line="360" w:lineRule="auto"/>
        <w:ind w:firstLine="480" w:firstLineChars="200"/>
        <w:rPr>
          <w:rFonts w:hint="eastAsia" w:ascii="宋体" w:hAnsi="宋体" w:cs="宋体"/>
        </w:rPr>
      </w:pPr>
      <w:r>
        <w:rPr>
          <w:rFonts w:hint="eastAsia" w:ascii="宋体" w:hAnsi="宋体" w:cs="宋体"/>
        </w:rPr>
        <w:t>1、服务地点：厦门市医学院附属口腔医院集美分院，厦门市集美区杏林南路98号。</w:t>
      </w:r>
    </w:p>
    <w:p w14:paraId="6161D07D">
      <w:pPr>
        <w:pStyle w:val="11"/>
        <w:widowControl/>
        <w:spacing w:line="360" w:lineRule="auto"/>
        <w:ind w:firstLine="480" w:firstLineChars="200"/>
        <w:rPr>
          <w:rFonts w:hint="eastAsia" w:ascii="宋体" w:hAnsi="宋体" w:cs="宋体"/>
        </w:rPr>
      </w:pPr>
      <w:r>
        <w:rPr>
          <w:rFonts w:hint="eastAsia" w:ascii="宋体" w:hAnsi="宋体" w:cs="宋体"/>
        </w:rPr>
        <w:t>2、服务时间：</w:t>
      </w:r>
      <w:r>
        <w:rPr>
          <w:rFonts w:hint="eastAsia" w:hAnsi="宋体" w:cs="宋体"/>
          <w:color w:val="000000"/>
          <w:shd w:val="clear" w:color="auto" w:fill="FFFFFF"/>
        </w:rPr>
        <w:t>合同签订后30个日历日内竣工并出具消防安全评查报告。</w:t>
      </w:r>
    </w:p>
    <w:p w14:paraId="56AFA591">
      <w:pPr>
        <w:pStyle w:val="11"/>
        <w:widowControl/>
        <w:spacing w:line="360" w:lineRule="auto"/>
        <w:ind w:firstLine="480" w:firstLineChars="200"/>
        <w:rPr>
          <w:rFonts w:hint="eastAsia" w:ascii="宋体" w:hAnsi="宋体" w:cs="宋体"/>
        </w:rPr>
      </w:pPr>
      <w:r>
        <w:rPr>
          <w:rFonts w:hint="eastAsia" w:ascii="宋体" w:hAnsi="宋体" w:cs="宋体"/>
        </w:rPr>
        <w:t>3、</w:t>
      </w:r>
      <w:r>
        <w:rPr>
          <w:rFonts w:hint="eastAsia" w:asciiTheme="minorEastAsia" w:hAnsiTheme="minorEastAsia" w:eastAsiaTheme="minorEastAsia"/>
        </w:rPr>
        <w:t>交付条件：中标人负责组织第三方出具消防安全评查报告并</w:t>
      </w:r>
      <w:r>
        <w:rPr>
          <w:rFonts w:hint="eastAsia" w:ascii="宋体" w:hAnsi="宋体" w:cs="宋体"/>
        </w:rPr>
        <w:t>上传至福建消防技术服务信息平台</w:t>
      </w:r>
      <w:r>
        <w:rPr>
          <w:rFonts w:hint="eastAsia" w:asciiTheme="minorEastAsia" w:hAnsiTheme="minorEastAsia" w:eastAsiaTheme="minorEastAsia"/>
        </w:rPr>
        <w:t>，评查结论为合格。</w:t>
      </w:r>
    </w:p>
    <w:p w14:paraId="5235A913">
      <w:pPr>
        <w:pStyle w:val="11"/>
        <w:widowControl/>
        <w:spacing w:line="360" w:lineRule="auto"/>
        <w:ind w:firstLine="480" w:firstLineChars="200"/>
        <w:rPr>
          <w:rFonts w:hint="eastAsia" w:ascii="宋体" w:hAnsi="宋体" w:cs="宋体"/>
          <w:lang w:val="en-US" w:eastAsia="zh-CN"/>
        </w:rPr>
      </w:pPr>
      <w:r>
        <w:rPr>
          <w:rFonts w:hint="eastAsia" w:ascii="宋体" w:hAnsi="宋体" w:cs="宋体"/>
          <w:lang w:val="en-US" w:eastAsia="zh-CN"/>
        </w:rPr>
        <w:t xml:space="preserve">4、 </w:t>
      </w:r>
      <w:bookmarkStart w:id="2" w:name="_Toc30051"/>
      <w:r>
        <w:rPr>
          <w:rFonts w:hint="eastAsia" w:ascii="宋体" w:hAnsi="宋体" w:cs="宋体"/>
          <w:lang w:val="en-US" w:eastAsia="zh-CN"/>
        </w:rPr>
        <w:t>付款方式</w:t>
      </w:r>
      <w:bookmarkEnd w:id="2"/>
    </w:p>
    <w:p w14:paraId="493EF468">
      <w:pPr>
        <w:pStyle w:val="11"/>
        <w:widowControl/>
        <w:spacing w:line="360" w:lineRule="auto"/>
        <w:ind w:firstLine="480" w:firstLineChars="200"/>
        <w:rPr>
          <w:rFonts w:hint="eastAsia" w:ascii="宋体" w:hAnsi="宋体" w:cs="宋体"/>
          <w:lang w:val="en-US" w:eastAsia="zh-CN"/>
        </w:rPr>
      </w:pPr>
      <w:r>
        <w:rPr>
          <w:rFonts w:hint="eastAsia" w:ascii="宋体" w:hAnsi="宋体" w:cs="宋体"/>
          <w:lang w:val="en-US" w:eastAsia="zh-CN"/>
        </w:rPr>
        <w:t>（1）全部改造完成并经采购人验收合格后，采购人凭借成交供应商开具的100%合同总价的正式发票及采购人签发的验收合格文件等材料以转账的方式向成交供应商一次性支付97%合同价款。</w:t>
      </w:r>
    </w:p>
    <w:p w14:paraId="31532485">
      <w:pPr>
        <w:pStyle w:val="11"/>
        <w:widowControl/>
        <w:spacing w:line="360" w:lineRule="auto"/>
        <w:ind w:firstLine="480" w:firstLineChars="200"/>
        <w:rPr>
          <w:rFonts w:hint="eastAsia" w:ascii="宋体" w:hAnsi="宋体" w:cs="宋体"/>
          <w:lang w:val="en-US" w:eastAsia="zh-CN"/>
        </w:rPr>
      </w:pPr>
      <w:r>
        <w:rPr>
          <w:rFonts w:hint="eastAsia" w:ascii="宋体" w:hAnsi="宋体" w:cs="宋体"/>
          <w:lang w:val="en-US" w:eastAsia="zh-CN"/>
        </w:rPr>
        <w:t>（2）预留合同总价的3%作为维保期的履约保证金，待工程验收合格满一年，若无出现质量问题，采购人以转账方式无息一次性支付给成交供应商。</w:t>
      </w:r>
    </w:p>
    <w:p w14:paraId="3C671740">
      <w:pPr>
        <w:pStyle w:val="11"/>
        <w:widowControl/>
        <w:spacing w:line="360" w:lineRule="auto"/>
        <w:ind w:firstLine="480" w:firstLineChars="200"/>
        <w:rPr>
          <w:rFonts w:hint="eastAsia" w:ascii="宋体" w:hAnsi="宋体" w:cs="宋体"/>
        </w:rPr>
      </w:pPr>
    </w:p>
    <w:p w14:paraId="52610D99">
      <w:pPr>
        <w:pStyle w:val="4"/>
        <w:keepNext w:val="0"/>
        <w:keepLines w:val="0"/>
        <w:spacing w:before="0" w:after="0" w:line="360" w:lineRule="auto"/>
        <w:ind w:firstLine="482" w:firstLineChars="200"/>
        <w:rPr>
          <w:rFonts w:hint="eastAsia" w:ascii="宋体" w:hAnsi="宋体" w:eastAsia="宋体"/>
          <w:sz w:val="24"/>
          <w:szCs w:val="24"/>
        </w:rPr>
      </w:pPr>
      <w:r>
        <w:rPr>
          <w:rFonts w:hint="eastAsia" w:ascii="宋体" w:hAnsi="宋体" w:eastAsia="宋体"/>
          <w:sz w:val="24"/>
          <w:szCs w:val="24"/>
        </w:rPr>
        <w:t>四、资格证明文件</w:t>
      </w:r>
    </w:p>
    <w:p w14:paraId="6213CF4B">
      <w:pPr>
        <w:pStyle w:val="11"/>
        <w:widowControl/>
        <w:spacing w:line="360" w:lineRule="auto"/>
        <w:ind w:firstLine="480" w:firstLineChars="200"/>
        <w:rPr>
          <w:rFonts w:hint="eastAsia" w:ascii="宋体" w:hAnsi="宋体" w:cs="宋体"/>
        </w:rPr>
      </w:pPr>
      <w:r>
        <w:rPr>
          <w:rFonts w:hint="eastAsia" w:ascii="宋体" w:hAnsi="宋体" w:cs="宋体"/>
        </w:rPr>
        <w:t>1、投标人应提供工商营业执照（副本）（加盖公章）的复印件，提供税务登记证及组织机构代码证复印件。投标人已提供加载有统一社会信用代码营业执照的，视为已提供税务登记证和组织机构代码证。</w:t>
      </w:r>
    </w:p>
    <w:p w14:paraId="4210E780">
      <w:pPr>
        <w:pStyle w:val="11"/>
        <w:widowControl/>
        <w:spacing w:line="360" w:lineRule="auto"/>
        <w:ind w:firstLine="480" w:firstLineChars="200"/>
        <w:rPr>
          <w:rFonts w:hint="eastAsia" w:ascii="宋体" w:hAnsi="宋体" w:cs="宋体"/>
        </w:rPr>
      </w:pPr>
      <w:r>
        <w:rPr>
          <w:rFonts w:hint="eastAsia" w:ascii="宋体" w:hAnsi="宋体" w:cs="宋体"/>
        </w:rPr>
        <w:t>2、投标人全权代表若不是单位负责人，应提供单位授权书原件，并提供被授权代表身份证复印件。</w:t>
      </w:r>
    </w:p>
    <w:p w14:paraId="5A5300C6">
      <w:pPr>
        <w:spacing w:line="360" w:lineRule="auto"/>
        <w:ind w:left="69"/>
        <w:rPr>
          <w:rFonts w:hint="eastAsia" w:ascii="宋体" w:hAnsi="宋体"/>
          <w:b/>
          <w:sz w:val="24"/>
        </w:rPr>
      </w:pPr>
      <w:r>
        <w:rPr>
          <w:rFonts w:hint="eastAsia" w:ascii="宋体" w:hAnsi="宋体"/>
          <w:b/>
          <w:sz w:val="24"/>
          <w:szCs w:val="24"/>
        </w:rPr>
        <w:t>五、</w:t>
      </w:r>
      <w:r>
        <w:rPr>
          <w:rFonts w:hint="eastAsia" w:ascii="宋体" w:hAnsi="宋体"/>
          <w:b/>
          <w:sz w:val="24"/>
        </w:rPr>
        <w:t>评审标准</w:t>
      </w:r>
    </w:p>
    <w:p w14:paraId="21969FE5">
      <w:pPr>
        <w:spacing w:line="360" w:lineRule="auto"/>
        <w:ind w:left="-178" w:leftChars="-85" w:right="-63" w:rightChars="-30" w:firstLine="480" w:firstLineChars="200"/>
        <w:rPr>
          <w:rFonts w:hint="eastAsia" w:ascii="宋体" w:hAnsi="宋体" w:cs="宋体"/>
          <w:sz w:val="24"/>
          <w:szCs w:val="24"/>
        </w:rPr>
      </w:pPr>
      <w:r>
        <w:rPr>
          <w:rFonts w:hint="eastAsia" w:ascii="宋体" w:hAnsi="宋体" w:cs="宋体"/>
          <w:sz w:val="24"/>
          <w:szCs w:val="24"/>
        </w:rPr>
        <w:t>1、本项目采用综合评分法招标，医院采购小组组成评标小组对每份投标文件进行客观打分。</w:t>
      </w:r>
    </w:p>
    <w:p w14:paraId="6C885496">
      <w:pPr>
        <w:spacing w:line="360" w:lineRule="auto"/>
        <w:outlineLvl w:val="0"/>
        <w:rPr>
          <w:rFonts w:hint="eastAsia" w:ascii="宋体" w:hAnsi="宋体"/>
          <w:sz w:val="24"/>
          <w:szCs w:val="24"/>
        </w:rPr>
      </w:pPr>
      <w:r>
        <w:rPr>
          <w:rFonts w:hint="eastAsia" w:ascii="宋体" w:hAnsi="宋体"/>
          <w:b/>
          <w:sz w:val="24"/>
        </w:rPr>
        <w:t>综合评分法：</w:t>
      </w:r>
      <w:r>
        <w:rPr>
          <w:rFonts w:hint="eastAsia" w:ascii="宋体" w:hAnsi="宋体"/>
          <w:sz w:val="24"/>
        </w:rPr>
        <w:t>综合得分=</w:t>
      </w:r>
      <w:r>
        <w:rPr>
          <w:rFonts w:ascii="宋体" w:hAnsi="宋体"/>
          <w:sz w:val="24"/>
          <w:szCs w:val="24"/>
        </w:rPr>
        <w:t xml:space="preserve"> F1 + F2 + F3 </w:t>
      </w:r>
    </w:p>
    <w:p w14:paraId="337995DA">
      <w:pPr>
        <w:spacing w:line="360" w:lineRule="auto"/>
        <w:outlineLvl w:val="0"/>
        <w:rPr>
          <w:rFonts w:hint="eastAsia" w:ascii="宋体" w:hAnsi="宋体"/>
          <w:bCs/>
          <w:sz w:val="24"/>
        </w:rPr>
      </w:pPr>
      <w:r>
        <w:rPr>
          <w:rFonts w:hint="eastAsia" w:ascii="宋体" w:hAnsi="宋体"/>
          <w:b/>
          <w:sz w:val="24"/>
          <w:szCs w:val="24"/>
        </w:rPr>
        <w:t>（一）技术评分（F1）标准（满分</w:t>
      </w:r>
      <w:r>
        <w:rPr>
          <w:rFonts w:hint="eastAsia" w:ascii="宋体" w:hAnsi="宋体"/>
          <w:b/>
          <w:sz w:val="24"/>
          <w:szCs w:val="24"/>
          <w:lang w:val="en-US" w:eastAsia="zh-CN"/>
        </w:rPr>
        <w:t>56</w:t>
      </w:r>
      <w:r>
        <w:rPr>
          <w:rFonts w:hint="eastAsia" w:ascii="宋体" w:hAnsi="宋体"/>
          <w:b/>
          <w:sz w:val="24"/>
          <w:szCs w:val="24"/>
        </w:rPr>
        <w:t>分）：</w:t>
      </w:r>
    </w:p>
    <w:tbl>
      <w:tblPr>
        <w:tblStyle w:val="13"/>
        <w:tblW w:w="8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7329"/>
        <w:gridCol w:w="882"/>
      </w:tblGrid>
      <w:tr w14:paraId="44721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644" w:type="dxa"/>
            <w:vAlign w:val="center"/>
          </w:tcPr>
          <w:p w14:paraId="65CD1C96">
            <w:pPr>
              <w:widowControl/>
              <w:spacing w:line="440" w:lineRule="exact"/>
              <w:jc w:val="center"/>
              <w:rPr>
                <w:rFonts w:hint="eastAsia" w:ascii="宋体" w:hAnsi="宋体"/>
                <w:szCs w:val="21"/>
              </w:rPr>
            </w:pPr>
            <w:r>
              <w:rPr>
                <w:rFonts w:hint="eastAsia" w:ascii="宋体" w:hAnsi="宋体"/>
                <w:szCs w:val="21"/>
              </w:rPr>
              <w:t>序号</w:t>
            </w:r>
          </w:p>
        </w:tc>
        <w:tc>
          <w:tcPr>
            <w:tcW w:w="7329" w:type="dxa"/>
            <w:vAlign w:val="center"/>
          </w:tcPr>
          <w:p w14:paraId="7A15E38A">
            <w:pPr>
              <w:widowControl/>
              <w:spacing w:line="440" w:lineRule="exact"/>
              <w:jc w:val="center"/>
              <w:rPr>
                <w:rFonts w:hint="eastAsia" w:ascii="宋体" w:hAnsi="宋体"/>
                <w:szCs w:val="21"/>
              </w:rPr>
            </w:pPr>
            <w:r>
              <w:rPr>
                <w:rFonts w:hint="eastAsia" w:ascii="宋体" w:hAnsi="宋体"/>
                <w:szCs w:val="21"/>
              </w:rPr>
              <w:t>评分界定</w:t>
            </w:r>
          </w:p>
        </w:tc>
        <w:tc>
          <w:tcPr>
            <w:tcW w:w="882" w:type="dxa"/>
            <w:vAlign w:val="center"/>
          </w:tcPr>
          <w:p w14:paraId="21F5A66F">
            <w:pPr>
              <w:widowControl/>
              <w:spacing w:line="440" w:lineRule="exact"/>
              <w:jc w:val="center"/>
              <w:rPr>
                <w:rFonts w:hint="eastAsia" w:ascii="宋体" w:hAnsi="宋体"/>
                <w:szCs w:val="21"/>
              </w:rPr>
            </w:pPr>
            <w:r>
              <w:rPr>
                <w:rFonts w:hint="eastAsia" w:ascii="宋体" w:hAnsi="宋体"/>
                <w:szCs w:val="21"/>
              </w:rPr>
              <w:t>分值</w:t>
            </w:r>
          </w:p>
        </w:tc>
      </w:tr>
      <w:tr w14:paraId="547B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0DD89A0E">
            <w:pPr>
              <w:widowControl/>
              <w:spacing w:line="440" w:lineRule="exact"/>
              <w:jc w:val="center"/>
            </w:pPr>
            <w:r>
              <w:rPr>
                <w:rFonts w:hint="eastAsia"/>
              </w:rPr>
              <w:t>1</w:t>
            </w:r>
          </w:p>
        </w:tc>
        <w:tc>
          <w:tcPr>
            <w:tcW w:w="7329" w:type="dxa"/>
            <w:vAlign w:val="center"/>
          </w:tcPr>
          <w:p w14:paraId="499AC262">
            <w:pPr>
              <w:widowControl/>
              <w:spacing w:line="440" w:lineRule="exact"/>
              <w:jc w:val="left"/>
              <w:rPr>
                <w:rFonts w:hint="eastAsia" w:ascii="宋体" w:hAnsi="宋体"/>
                <w:szCs w:val="21"/>
              </w:rPr>
            </w:pPr>
            <w:r>
              <w:rPr>
                <w:rFonts w:hint="eastAsia" w:ascii="宋体" w:hAnsi="宋体"/>
                <w:szCs w:val="21"/>
              </w:rPr>
              <w:t>投标人应对项目的建筑分类和耐火等级进行准确定性，定性准确合理得3分，定性错误不得分。</w:t>
            </w:r>
          </w:p>
        </w:tc>
        <w:tc>
          <w:tcPr>
            <w:tcW w:w="882" w:type="dxa"/>
            <w:vAlign w:val="center"/>
          </w:tcPr>
          <w:p w14:paraId="51200563">
            <w:pPr>
              <w:widowControl/>
              <w:spacing w:line="440" w:lineRule="exact"/>
              <w:jc w:val="center"/>
            </w:pPr>
            <w:r>
              <w:rPr>
                <w:rFonts w:hint="eastAsia"/>
              </w:rPr>
              <w:t>3</w:t>
            </w:r>
          </w:p>
        </w:tc>
      </w:tr>
      <w:tr w14:paraId="5CB6E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23F76EC1">
            <w:pPr>
              <w:widowControl/>
              <w:spacing w:line="440" w:lineRule="exact"/>
              <w:jc w:val="center"/>
            </w:pPr>
            <w:r>
              <w:rPr>
                <w:rFonts w:hint="eastAsia"/>
              </w:rPr>
              <w:t>2</w:t>
            </w:r>
          </w:p>
        </w:tc>
        <w:tc>
          <w:tcPr>
            <w:tcW w:w="7329" w:type="dxa"/>
            <w:vAlign w:val="center"/>
          </w:tcPr>
          <w:p w14:paraId="6660BA14">
            <w:pPr>
              <w:widowControl/>
              <w:spacing w:line="440" w:lineRule="exact"/>
              <w:jc w:val="left"/>
              <w:rPr>
                <w:rFonts w:hint="eastAsia" w:ascii="宋体" w:hAnsi="宋体"/>
                <w:szCs w:val="21"/>
              </w:rPr>
            </w:pPr>
            <w:r>
              <w:rPr>
                <w:rFonts w:hint="eastAsia" w:ascii="宋体" w:hAnsi="宋体"/>
                <w:szCs w:val="21"/>
              </w:rPr>
              <w:t>投标人应对不符合消防技术标准的平面布局、安全疏散等问题提出整改方案，方案具有详细、具体、明确包含以上所有内容得3分；基本符合项目实际情况，方案描述较为简单、要点基本齐全得2分;方案基本符合项目实际情况但不详尽的得1分；方案不科学、条理不清晰或不切合实际、或不符合招标要求或未提供的均不得分。</w:t>
            </w:r>
          </w:p>
        </w:tc>
        <w:tc>
          <w:tcPr>
            <w:tcW w:w="882" w:type="dxa"/>
            <w:vAlign w:val="center"/>
          </w:tcPr>
          <w:p w14:paraId="27CF748C">
            <w:pPr>
              <w:widowControl/>
              <w:spacing w:line="440" w:lineRule="exact"/>
              <w:jc w:val="center"/>
            </w:pPr>
            <w:r>
              <w:rPr>
                <w:rFonts w:hint="eastAsia"/>
              </w:rPr>
              <w:t>3</w:t>
            </w:r>
          </w:p>
        </w:tc>
      </w:tr>
      <w:tr w14:paraId="08AD0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jc w:val="center"/>
        </w:trPr>
        <w:tc>
          <w:tcPr>
            <w:tcW w:w="644" w:type="dxa"/>
            <w:vAlign w:val="center"/>
          </w:tcPr>
          <w:p w14:paraId="7173DA4B">
            <w:pPr>
              <w:widowControl/>
              <w:spacing w:line="440" w:lineRule="exact"/>
              <w:jc w:val="center"/>
            </w:pPr>
            <w:r>
              <w:rPr>
                <w:rFonts w:hint="eastAsia"/>
              </w:rPr>
              <w:t>3</w:t>
            </w:r>
          </w:p>
        </w:tc>
        <w:tc>
          <w:tcPr>
            <w:tcW w:w="7329" w:type="dxa"/>
            <w:vAlign w:val="center"/>
          </w:tcPr>
          <w:p w14:paraId="5E5013ED">
            <w:pPr>
              <w:widowControl/>
              <w:spacing w:line="440" w:lineRule="exact"/>
              <w:jc w:val="left"/>
              <w:rPr>
                <w:rFonts w:hint="eastAsia" w:ascii="宋体" w:hAnsi="宋体"/>
                <w:szCs w:val="21"/>
              </w:rPr>
            </w:pPr>
            <w:r>
              <w:rPr>
                <w:rFonts w:hint="eastAsia" w:ascii="宋体" w:hAnsi="宋体"/>
                <w:szCs w:val="21"/>
              </w:rPr>
              <w:t>投标人应根据项目特点设计室内消火栓系统，方案具有详细、具体、明确包含以上所有内容得3分；基本符合项目实际情况，方案描述较为简单、要点基本齐全得2分;方案基本符合项目实际情况但不详尽的得1分；方案不科学、条理不清晰或不切合实际、或不符合招标要求或未提供的均不得分。</w:t>
            </w:r>
          </w:p>
        </w:tc>
        <w:tc>
          <w:tcPr>
            <w:tcW w:w="882" w:type="dxa"/>
            <w:vAlign w:val="center"/>
          </w:tcPr>
          <w:p w14:paraId="69B421A3">
            <w:pPr>
              <w:widowControl/>
              <w:spacing w:line="440" w:lineRule="exact"/>
              <w:jc w:val="center"/>
            </w:pPr>
            <w:r>
              <w:rPr>
                <w:rFonts w:hint="eastAsia"/>
              </w:rPr>
              <w:t>3</w:t>
            </w:r>
          </w:p>
        </w:tc>
      </w:tr>
      <w:tr w14:paraId="6EC5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atLeast"/>
          <w:jc w:val="center"/>
        </w:trPr>
        <w:tc>
          <w:tcPr>
            <w:tcW w:w="644" w:type="dxa"/>
            <w:vAlign w:val="center"/>
          </w:tcPr>
          <w:p w14:paraId="3782ADAE">
            <w:pPr>
              <w:widowControl/>
              <w:spacing w:line="440" w:lineRule="exact"/>
              <w:jc w:val="center"/>
            </w:pPr>
            <w:r>
              <w:rPr>
                <w:rFonts w:hint="eastAsia"/>
              </w:rPr>
              <w:t>4</w:t>
            </w:r>
          </w:p>
        </w:tc>
        <w:tc>
          <w:tcPr>
            <w:tcW w:w="7329" w:type="dxa"/>
            <w:vAlign w:val="center"/>
          </w:tcPr>
          <w:p w14:paraId="6F358943">
            <w:pPr>
              <w:widowControl/>
              <w:spacing w:line="440" w:lineRule="exact"/>
              <w:jc w:val="left"/>
              <w:rPr>
                <w:rFonts w:hint="eastAsia" w:ascii="宋体" w:hAnsi="宋体"/>
                <w:szCs w:val="21"/>
              </w:rPr>
            </w:pPr>
            <w:r>
              <w:rPr>
                <w:rFonts w:hint="eastAsia" w:ascii="宋体" w:hAnsi="宋体"/>
                <w:szCs w:val="21"/>
              </w:rPr>
              <w:t>投标人应根据项目特点设计自动喷水灭火系统，方案具有详细、具体、明确包含以上所有内容得3分；基本符合项目实际情况，方案描述较为简单、要点基本齐全得2分;方案基本符合项目实际情况但不详尽的得1分；方案不科学、条理不清晰或不切合实际、或不符合招标要求或未提供的均不得分。</w:t>
            </w:r>
          </w:p>
        </w:tc>
        <w:tc>
          <w:tcPr>
            <w:tcW w:w="882" w:type="dxa"/>
            <w:vAlign w:val="center"/>
          </w:tcPr>
          <w:p w14:paraId="3356C7D4">
            <w:pPr>
              <w:widowControl/>
              <w:spacing w:line="440" w:lineRule="exact"/>
              <w:jc w:val="center"/>
            </w:pPr>
            <w:r>
              <w:rPr>
                <w:rFonts w:hint="eastAsia"/>
              </w:rPr>
              <w:t>3</w:t>
            </w:r>
          </w:p>
        </w:tc>
      </w:tr>
      <w:tr w14:paraId="6906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2290A922">
            <w:pPr>
              <w:widowControl/>
              <w:spacing w:line="440" w:lineRule="exact"/>
              <w:jc w:val="center"/>
            </w:pPr>
            <w:r>
              <w:rPr>
                <w:rFonts w:hint="eastAsia"/>
              </w:rPr>
              <w:t>5</w:t>
            </w:r>
          </w:p>
        </w:tc>
        <w:tc>
          <w:tcPr>
            <w:tcW w:w="7329" w:type="dxa"/>
            <w:vAlign w:val="center"/>
          </w:tcPr>
          <w:p w14:paraId="22B53EEA">
            <w:pPr>
              <w:widowControl/>
              <w:spacing w:line="440" w:lineRule="exact"/>
              <w:jc w:val="left"/>
              <w:rPr>
                <w:rFonts w:hint="eastAsia" w:ascii="宋体" w:hAnsi="宋体"/>
                <w:szCs w:val="21"/>
              </w:rPr>
            </w:pPr>
            <w:r>
              <w:rPr>
                <w:rFonts w:hint="eastAsia" w:ascii="宋体" w:hAnsi="宋体"/>
                <w:szCs w:val="21"/>
              </w:rPr>
              <w:t>投标人应根据项目特点设计火灾自动报警系统，方案具有详细、具体、明确包含以上所有内容得3分；基本符合项目实际情况，方案描述较为简单、要点基本齐全得2分;方案基本符合项目实际情况但不详尽的得1分；方案不科学、条理不清晰或不切合实际、或不符合招标要求或未提供的均不得分。</w:t>
            </w:r>
          </w:p>
        </w:tc>
        <w:tc>
          <w:tcPr>
            <w:tcW w:w="882" w:type="dxa"/>
            <w:vAlign w:val="center"/>
          </w:tcPr>
          <w:p w14:paraId="1E3B6E60">
            <w:pPr>
              <w:widowControl/>
              <w:spacing w:line="440" w:lineRule="exact"/>
              <w:jc w:val="center"/>
            </w:pPr>
            <w:r>
              <w:rPr>
                <w:rFonts w:hint="eastAsia"/>
              </w:rPr>
              <w:t>3</w:t>
            </w:r>
          </w:p>
        </w:tc>
      </w:tr>
      <w:tr w14:paraId="62CE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185F7B05">
            <w:pPr>
              <w:widowControl/>
              <w:spacing w:line="440" w:lineRule="exact"/>
              <w:jc w:val="center"/>
            </w:pPr>
            <w:r>
              <w:rPr>
                <w:rFonts w:hint="eastAsia"/>
              </w:rPr>
              <w:t>6</w:t>
            </w:r>
          </w:p>
        </w:tc>
        <w:tc>
          <w:tcPr>
            <w:tcW w:w="7329" w:type="dxa"/>
            <w:vAlign w:val="center"/>
          </w:tcPr>
          <w:p w14:paraId="21FF1B97">
            <w:pPr>
              <w:widowControl/>
              <w:spacing w:line="440" w:lineRule="exact"/>
              <w:jc w:val="left"/>
              <w:rPr>
                <w:rFonts w:hint="eastAsia" w:ascii="宋体" w:hAnsi="宋体"/>
                <w:szCs w:val="21"/>
              </w:rPr>
            </w:pPr>
            <w:r>
              <w:rPr>
                <w:rFonts w:hint="eastAsia" w:ascii="宋体" w:hAnsi="宋体"/>
                <w:szCs w:val="21"/>
              </w:rPr>
              <w:t>投标人应根据项目特点设计消防应急照明和疏散指示标志，方案具有详细、具体、明确包含以上所有内容得3分；基本符合项目实际情况，方案描述较为简单、要点基本齐全得2分;方案基本符合项目实际情况但不详尽的得1分；方案不科学、条理不清晰或不切合实际、或不符合招标要求或未提供的均不得分。</w:t>
            </w:r>
          </w:p>
        </w:tc>
        <w:tc>
          <w:tcPr>
            <w:tcW w:w="882" w:type="dxa"/>
            <w:vAlign w:val="center"/>
          </w:tcPr>
          <w:p w14:paraId="52D2247E">
            <w:pPr>
              <w:widowControl/>
              <w:spacing w:line="440" w:lineRule="exact"/>
              <w:jc w:val="center"/>
            </w:pPr>
            <w:r>
              <w:rPr>
                <w:rFonts w:hint="eastAsia"/>
              </w:rPr>
              <w:t>3</w:t>
            </w:r>
          </w:p>
        </w:tc>
      </w:tr>
      <w:tr w14:paraId="21A5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1529FBA6">
            <w:pPr>
              <w:widowControl/>
              <w:spacing w:line="440" w:lineRule="exact"/>
              <w:jc w:val="center"/>
            </w:pPr>
            <w:r>
              <w:rPr>
                <w:rFonts w:hint="eastAsia"/>
              </w:rPr>
              <w:t>7</w:t>
            </w:r>
          </w:p>
        </w:tc>
        <w:tc>
          <w:tcPr>
            <w:tcW w:w="7329" w:type="dxa"/>
            <w:vAlign w:val="center"/>
          </w:tcPr>
          <w:p w14:paraId="06A7C242">
            <w:pPr>
              <w:widowControl/>
              <w:spacing w:line="440" w:lineRule="exact"/>
              <w:jc w:val="left"/>
              <w:rPr>
                <w:rFonts w:hint="eastAsia" w:ascii="宋体" w:hAnsi="宋体"/>
                <w:szCs w:val="21"/>
              </w:rPr>
            </w:pPr>
            <w:r>
              <w:rPr>
                <w:rFonts w:hint="eastAsia" w:ascii="宋体" w:hAnsi="宋体"/>
                <w:szCs w:val="21"/>
              </w:rPr>
              <w:t>投标人应对项目灭火器设置进行设计，方案具有详细、具体、明确包含以上所有内容得3分；基本符合项目实际情况，方案描述较为简单、要点基本齐全得2分;方案基本符合项目实际情况但不详尽的得1分；方案不科学、条理不清晰或不切合实际、或不符合招标要求或未提供的均不得分。</w:t>
            </w:r>
          </w:p>
        </w:tc>
        <w:tc>
          <w:tcPr>
            <w:tcW w:w="882" w:type="dxa"/>
            <w:vAlign w:val="center"/>
          </w:tcPr>
          <w:p w14:paraId="6CD4253B">
            <w:pPr>
              <w:widowControl/>
              <w:spacing w:line="440" w:lineRule="exact"/>
              <w:jc w:val="center"/>
            </w:pPr>
            <w:r>
              <w:rPr>
                <w:rFonts w:hint="eastAsia"/>
              </w:rPr>
              <w:t>3</w:t>
            </w:r>
          </w:p>
        </w:tc>
      </w:tr>
      <w:tr w14:paraId="6BCA0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24CB7A0F">
            <w:pPr>
              <w:widowControl/>
              <w:spacing w:line="440" w:lineRule="exact"/>
              <w:jc w:val="center"/>
            </w:pPr>
            <w:r>
              <w:rPr>
                <w:rFonts w:hint="eastAsia"/>
              </w:rPr>
              <w:t>8</w:t>
            </w:r>
          </w:p>
        </w:tc>
        <w:tc>
          <w:tcPr>
            <w:tcW w:w="7329" w:type="dxa"/>
            <w:vAlign w:val="center"/>
          </w:tcPr>
          <w:p w14:paraId="316CF97E">
            <w:pPr>
              <w:widowControl/>
              <w:spacing w:line="440" w:lineRule="exact"/>
              <w:jc w:val="left"/>
              <w:rPr>
                <w:rFonts w:hint="eastAsia" w:ascii="宋体" w:hAnsi="宋体"/>
                <w:szCs w:val="21"/>
              </w:rPr>
            </w:pPr>
            <w:r>
              <w:rPr>
                <w:rFonts w:ascii="宋体" w:hAnsi="宋体"/>
                <w:szCs w:val="21"/>
              </w:rPr>
              <w:t>投标人拟担任本招标项目的项目负责人</w:t>
            </w:r>
            <w:r>
              <w:rPr>
                <w:rFonts w:hint="eastAsia" w:ascii="宋体" w:hAnsi="宋体"/>
                <w:szCs w:val="21"/>
              </w:rPr>
              <w:t>具有机电工程专业一级注册建造师</w:t>
            </w:r>
            <w:r>
              <w:rPr>
                <w:rFonts w:hint="eastAsia" w:ascii="宋体" w:hAnsi="宋体"/>
                <w:szCs w:val="21"/>
                <w:lang w:val="en-US" w:eastAsia="zh-CN"/>
              </w:rPr>
              <w:t>且具有一级注册消防工程师证书资格证书</w:t>
            </w:r>
            <w:r>
              <w:rPr>
                <w:rFonts w:hint="eastAsia" w:ascii="宋体" w:hAnsi="宋体"/>
                <w:szCs w:val="21"/>
              </w:rPr>
              <w:t>的</w:t>
            </w:r>
            <w:r>
              <w:rPr>
                <w:rFonts w:hint="eastAsia" w:ascii="宋体" w:hAnsi="宋体"/>
                <w:szCs w:val="21"/>
                <w:lang w:val="en-US" w:eastAsia="zh-CN"/>
              </w:rPr>
              <w:t>得2分</w:t>
            </w:r>
            <w:r>
              <w:rPr>
                <w:rFonts w:hint="eastAsia" w:ascii="宋体" w:hAnsi="宋体"/>
                <w:szCs w:val="21"/>
              </w:rPr>
              <w:t>，</w:t>
            </w:r>
            <w:r>
              <w:rPr>
                <w:rFonts w:hint="eastAsia" w:ascii="宋体" w:hAnsi="宋体"/>
                <w:szCs w:val="21"/>
                <w:lang w:val="en-US" w:eastAsia="zh-CN"/>
              </w:rPr>
              <w:t>同时</w:t>
            </w:r>
            <w:r>
              <w:rPr>
                <w:rFonts w:hint="eastAsia" w:ascii="宋体" w:hAnsi="宋体"/>
                <w:szCs w:val="21"/>
              </w:rPr>
              <w:t>具有</w:t>
            </w:r>
            <w:r>
              <w:rPr>
                <w:rFonts w:hint="eastAsia" w:ascii="宋体" w:hAnsi="宋体"/>
                <w:szCs w:val="21"/>
                <w:lang w:val="en-US" w:eastAsia="zh-CN"/>
              </w:rPr>
              <w:t>机电类高级职称的得1分；</w:t>
            </w:r>
            <w:r>
              <w:rPr>
                <w:rFonts w:hint="eastAsia" w:ascii="宋体" w:hAnsi="宋体"/>
                <w:szCs w:val="21"/>
              </w:rPr>
              <w:t>满分</w:t>
            </w:r>
            <w:r>
              <w:rPr>
                <w:rFonts w:hint="eastAsia" w:ascii="宋体" w:hAnsi="宋体"/>
                <w:szCs w:val="21"/>
                <w:lang w:val="en-US" w:eastAsia="zh-CN"/>
              </w:rPr>
              <w:t>3</w:t>
            </w:r>
            <w:r>
              <w:rPr>
                <w:rFonts w:hint="eastAsia" w:ascii="宋体" w:hAnsi="宋体"/>
                <w:szCs w:val="21"/>
              </w:rPr>
              <w:t>分</w:t>
            </w:r>
          </w:p>
          <w:p w14:paraId="2D1657A9">
            <w:pPr>
              <w:widowControl/>
              <w:spacing w:line="440" w:lineRule="exact"/>
              <w:jc w:val="left"/>
              <w:rPr>
                <w:rFonts w:hint="eastAsia" w:ascii="宋体" w:hAnsi="宋体"/>
                <w:szCs w:val="21"/>
              </w:rPr>
            </w:pPr>
            <w:r>
              <w:rPr>
                <w:rFonts w:hint="eastAsia" w:ascii="宋体" w:hAnsi="宋体"/>
                <w:szCs w:val="21"/>
              </w:rPr>
              <w:t>备注：</w:t>
            </w:r>
            <w:r>
              <w:rPr>
                <w:rFonts w:hint="eastAsia" w:ascii="宋体" w:hAnsi="宋体" w:eastAsia="宋体" w:cs="宋体"/>
                <w:bCs/>
                <w:color w:val="auto"/>
                <w:sz w:val="21"/>
                <w:szCs w:val="21"/>
                <w:highlight w:val="none"/>
              </w:rPr>
              <w:t>须提供有效的证书复印件及递交</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w:t>
            </w:r>
            <w:r>
              <w:rPr>
                <w:rFonts w:hint="eastAsia" w:ascii="宋体" w:hAnsi="宋体" w:eastAsia="宋体" w:cs="宋体"/>
                <w:bCs/>
                <w:color w:val="auto"/>
                <w:sz w:val="21"/>
                <w:szCs w:val="21"/>
                <w:highlight w:val="none"/>
              </w:rPr>
              <w:t>截止时间前</w:t>
            </w:r>
            <w:r>
              <w:rPr>
                <w:rFonts w:hint="eastAsia" w:ascii="宋体" w:hAnsi="宋体" w:eastAsia="宋体" w:cs="宋体"/>
                <w:bCs/>
                <w:color w:val="auto"/>
                <w:sz w:val="21"/>
                <w:szCs w:val="21"/>
                <w:highlight w:val="none"/>
                <w:lang w:val="en-US" w:eastAsia="zh-CN"/>
              </w:rPr>
              <w:t>连续</w:t>
            </w:r>
            <w:r>
              <w:rPr>
                <w:rFonts w:hint="eastAsia" w:ascii="宋体" w:hAnsi="宋体" w:eastAsia="宋体" w:cs="宋体"/>
                <w:bCs/>
                <w:color w:val="auto"/>
                <w:sz w:val="21"/>
                <w:szCs w:val="21"/>
                <w:highlight w:val="none"/>
              </w:rPr>
              <w:t>6个月</w:t>
            </w:r>
            <w:r>
              <w:rPr>
                <w:rFonts w:hint="eastAsia" w:ascii="宋体" w:hAnsi="宋体" w:eastAsia="宋体" w:cs="宋体"/>
                <w:bCs/>
                <w:color w:val="auto"/>
                <w:sz w:val="21"/>
                <w:szCs w:val="21"/>
                <w:highlight w:val="none"/>
                <w:lang w:eastAsia="zh-CN"/>
              </w:rPr>
              <w:t>投标人</w:t>
            </w:r>
            <w:r>
              <w:rPr>
                <w:rFonts w:hint="eastAsia" w:ascii="宋体" w:hAnsi="宋体" w:eastAsia="宋体" w:cs="宋体"/>
                <w:bCs/>
                <w:color w:val="auto"/>
                <w:sz w:val="21"/>
                <w:szCs w:val="21"/>
                <w:highlight w:val="none"/>
              </w:rPr>
              <w:t>为其缴纳的社保证明材料，否则不得分。</w:t>
            </w:r>
          </w:p>
        </w:tc>
        <w:tc>
          <w:tcPr>
            <w:tcW w:w="882" w:type="dxa"/>
            <w:vAlign w:val="center"/>
          </w:tcPr>
          <w:p w14:paraId="4D2DA970">
            <w:pPr>
              <w:widowControl/>
              <w:spacing w:line="440" w:lineRule="exact"/>
              <w:jc w:val="center"/>
            </w:pPr>
            <w:r>
              <w:rPr>
                <w:rFonts w:hint="eastAsia"/>
              </w:rPr>
              <w:t>3</w:t>
            </w:r>
          </w:p>
        </w:tc>
      </w:tr>
      <w:tr w14:paraId="4623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07848456">
            <w:pPr>
              <w:widowControl/>
              <w:spacing w:line="440" w:lineRule="exact"/>
              <w:jc w:val="center"/>
            </w:pPr>
            <w:r>
              <w:rPr>
                <w:rFonts w:hint="eastAsia"/>
              </w:rPr>
              <w:t>9</w:t>
            </w:r>
          </w:p>
        </w:tc>
        <w:tc>
          <w:tcPr>
            <w:tcW w:w="7329" w:type="dxa"/>
            <w:vAlign w:val="center"/>
          </w:tcPr>
          <w:p w14:paraId="0D05BFFB">
            <w:pPr>
              <w:widowControl/>
              <w:spacing w:line="44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ascii="宋体" w:hAnsi="宋体"/>
                <w:szCs w:val="21"/>
              </w:rPr>
              <w:t>投标人拟担任本招标项目的</w:t>
            </w:r>
            <w:r>
              <w:rPr>
                <w:rFonts w:hint="eastAsia" w:ascii="宋体" w:hAnsi="宋体" w:eastAsia="宋体" w:cs="宋体"/>
                <w:color w:val="000000" w:themeColor="text1"/>
                <w:sz w:val="21"/>
                <w:szCs w:val="21"/>
                <w:highlight w:val="none"/>
                <w14:textFill>
                  <w14:solidFill>
                    <w14:schemeClr w14:val="tx1"/>
                  </w14:solidFill>
                </w14:textFill>
              </w:rPr>
              <w:t>技术负责人具有一级注册消防工程师且具备</w:t>
            </w:r>
            <w:r>
              <w:rPr>
                <w:rFonts w:hint="eastAsia" w:ascii="宋体" w:hAnsi="宋体" w:eastAsia="宋体" w:cs="宋体"/>
                <w:color w:val="000000" w:themeColor="text1"/>
                <w:sz w:val="21"/>
                <w:szCs w:val="21"/>
                <w:highlight w:val="none"/>
                <w:lang w:val="en-US" w:eastAsia="zh-CN"/>
                <w14:textFill>
                  <w14:solidFill>
                    <w14:schemeClr w14:val="tx1"/>
                  </w14:solidFill>
                </w14:textFill>
              </w:rPr>
              <w:t>中级以上机电相关专业职称</w:t>
            </w:r>
            <w:r>
              <w:rPr>
                <w:rFonts w:hint="eastAsia" w:ascii="宋体" w:hAnsi="宋体" w:eastAsia="宋体" w:cs="宋体"/>
                <w:color w:val="000000" w:themeColor="text1"/>
                <w:sz w:val="21"/>
                <w:szCs w:val="21"/>
                <w:highlight w:val="none"/>
                <w14:textFill>
                  <w14:solidFill>
                    <w14:schemeClr w14:val="tx1"/>
                  </w14:solidFill>
                </w14:textFill>
              </w:rPr>
              <w:t>的得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val="en-US" w:eastAsia="zh-CN"/>
                <w14:textFill>
                  <w14:solidFill>
                    <w14:schemeClr w14:val="tx1"/>
                  </w14:solidFill>
                </w14:textFill>
              </w:rPr>
              <w:t>同时</w:t>
            </w:r>
            <w:r>
              <w:rPr>
                <w:rFonts w:hint="eastAsia" w:ascii="宋体" w:hAnsi="宋体" w:eastAsia="宋体" w:cs="宋体"/>
                <w:color w:val="000000" w:themeColor="text1"/>
                <w:sz w:val="21"/>
                <w:szCs w:val="21"/>
                <w:highlight w:val="none"/>
                <w:lang w:val="en-US" w:eastAsia="zh-CN"/>
                <w14:textFill>
                  <w14:solidFill>
                    <w14:schemeClr w14:val="tx1"/>
                  </w14:solidFill>
                </w14:textFill>
              </w:rPr>
              <w:t>具备</w:t>
            </w:r>
            <w:r>
              <w:rPr>
                <w:rFonts w:hint="eastAsia" w:ascii="宋体" w:hAnsi="宋体" w:eastAsia="宋体" w:cs="宋体"/>
                <w:color w:val="000000" w:themeColor="text1"/>
                <w:sz w:val="21"/>
                <w:szCs w:val="21"/>
                <w:highlight w:val="none"/>
                <w14:textFill>
                  <w14:solidFill>
                    <w14:schemeClr w14:val="tx1"/>
                  </w14:solidFill>
                </w14:textFill>
              </w:rPr>
              <w:t>当地建设工程消防设计审查验收技术专家资格的得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szCs w:val="21"/>
              </w:rPr>
              <w:t>满分</w:t>
            </w:r>
            <w:r>
              <w:rPr>
                <w:rFonts w:hint="eastAsia" w:ascii="宋体" w:hAnsi="宋体"/>
                <w:szCs w:val="21"/>
                <w:lang w:val="en-US" w:eastAsia="zh-CN"/>
              </w:rPr>
              <w:t>3</w:t>
            </w:r>
            <w:r>
              <w:rPr>
                <w:rFonts w:hint="eastAsia" w:ascii="宋体" w:hAnsi="宋体"/>
                <w:szCs w:val="21"/>
              </w:rPr>
              <w:t>分</w:t>
            </w:r>
          </w:p>
          <w:p w14:paraId="01D58C12">
            <w:pPr>
              <w:widowControl/>
              <w:spacing w:line="440" w:lineRule="exact"/>
              <w:jc w:val="left"/>
              <w:rPr>
                <w:rFonts w:hint="eastAsia" w:ascii="宋体" w:hAnsi="宋体"/>
                <w:szCs w:val="21"/>
              </w:rPr>
            </w:pPr>
            <w:r>
              <w:rPr>
                <w:rFonts w:hint="eastAsia" w:ascii="宋体" w:hAnsi="宋体"/>
                <w:szCs w:val="21"/>
              </w:rPr>
              <w:t>备注：</w:t>
            </w:r>
            <w:r>
              <w:rPr>
                <w:rFonts w:hint="eastAsia" w:ascii="宋体" w:hAnsi="宋体" w:eastAsia="宋体" w:cs="宋体"/>
                <w:bCs/>
                <w:color w:val="auto"/>
                <w:sz w:val="21"/>
                <w:szCs w:val="21"/>
                <w:highlight w:val="none"/>
              </w:rPr>
              <w:t>须提供有效的证书复印件及递交</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w:t>
            </w:r>
            <w:r>
              <w:rPr>
                <w:rFonts w:hint="eastAsia" w:ascii="宋体" w:hAnsi="宋体" w:eastAsia="宋体" w:cs="宋体"/>
                <w:bCs/>
                <w:color w:val="auto"/>
                <w:sz w:val="21"/>
                <w:szCs w:val="21"/>
                <w:highlight w:val="none"/>
              </w:rPr>
              <w:t>截止时间前</w:t>
            </w:r>
            <w:r>
              <w:rPr>
                <w:rFonts w:hint="eastAsia" w:ascii="宋体" w:hAnsi="宋体" w:eastAsia="宋体" w:cs="宋体"/>
                <w:bCs/>
                <w:color w:val="auto"/>
                <w:sz w:val="21"/>
                <w:szCs w:val="21"/>
                <w:highlight w:val="none"/>
                <w:lang w:val="en-US" w:eastAsia="zh-CN"/>
              </w:rPr>
              <w:t>连续</w:t>
            </w:r>
            <w:r>
              <w:rPr>
                <w:rFonts w:hint="eastAsia" w:ascii="宋体" w:hAnsi="宋体" w:eastAsia="宋体" w:cs="宋体"/>
                <w:bCs/>
                <w:color w:val="auto"/>
                <w:sz w:val="21"/>
                <w:szCs w:val="21"/>
                <w:highlight w:val="none"/>
              </w:rPr>
              <w:t>6个月</w:t>
            </w:r>
            <w:r>
              <w:rPr>
                <w:rFonts w:hint="eastAsia" w:ascii="宋体" w:hAnsi="宋体" w:eastAsia="宋体" w:cs="宋体"/>
                <w:bCs/>
                <w:color w:val="auto"/>
                <w:sz w:val="21"/>
                <w:szCs w:val="21"/>
                <w:highlight w:val="none"/>
                <w:lang w:eastAsia="zh-CN"/>
              </w:rPr>
              <w:t>投标人</w:t>
            </w:r>
            <w:r>
              <w:rPr>
                <w:rFonts w:hint="eastAsia" w:ascii="宋体" w:hAnsi="宋体" w:eastAsia="宋体" w:cs="宋体"/>
                <w:bCs/>
                <w:color w:val="auto"/>
                <w:sz w:val="21"/>
                <w:szCs w:val="21"/>
                <w:highlight w:val="none"/>
              </w:rPr>
              <w:t>为其缴纳的社保证明材料，否则不得分。</w:t>
            </w:r>
          </w:p>
        </w:tc>
        <w:tc>
          <w:tcPr>
            <w:tcW w:w="882" w:type="dxa"/>
            <w:vAlign w:val="center"/>
          </w:tcPr>
          <w:p w14:paraId="786B442F">
            <w:pPr>
              <w:widowControl/>
              <w:spacing w:line="440" w:lineRule="exact"/>
              <w:jc w:val="center"/>
            </w:pPr>
            <w:r>
              <w:rPr>
                <w:rFonts w:hint="eastAsia"/>
              </w:rPr>
              <w:t>3</w:t>
            </w:r>
          </w:p>
        </w:tc>
      </w:tr>
      <w:tr w14:paraId="4DFF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587B1B47">
            <w:pPr>
              <w:widowControl/>
              <w:spacing w:line="440" w:lineRule="exact"/>
              <w:jc w:val="center"/>
            </w:pPr>
            <w:r>
              <w:rPr>
                <w:rFonts w:hint="eastAsia"/>
              </w:rPr>
              <w:t>10</w:t>
            </w:r>
          </w:p>
        </w:tc>
        <w:tc>
          <w:tcPr>
            <w:tcW w:w="7329" w:type="dxa"/>
            <w:vAlign w:val="center"/>
          </w:tcPr>
          <w:p w14:paraId="3BD086B7">
            <w:pPr>
              <w:widowControl/>
              <w:spacing w:line="440" w:lineRule="exact"/>
              <w:jc w:val="left"/>
              <w:rPr>
                <w:rFonts w:hint="eastAsia" w:ascii="宋体" w:hAnsi="宋体"/>
                <w:szCs w:val="21"/>
              </w:rPr>
            </w:pPr>
            <w:r>
              <w:rPr>
                <w:rFonts w:hint="eastAsia" w:ascii="宋体" w:hAnsi="宋体"/>
                <w:szCs w:val="21"/>
              </w:rPr>
              <w:t>根据</w:t>
            </w:r>
            <w:r>
              <w:rPr>
                <w:rFonts w:ascii="宋体" w:hAnsi="宋体"/>
                <w:szCs w:val="21"/>
              </w:rPr>
              <w:t>投标人提供相应的现场踏勘报告</w:t>
            </w:r>
            <w:r>
              <w:rPr>
                <w:rFonts w:hint="eastAsia" w:ascii="宋体" w:hAnsi="宋体"/>
                <w:szCs w:val="21"/>
              </w:rPr>
              <w:t>进行评价</w:t>
            </w:r>
            <w:r>
              <w:rPr>
                <w:rFonts w:ascii="宋体" w:hAnsi="宋体"/>
                <w:szCs w:val="21"/>
              </w:rPr>
              <w:t>，</w:t>
            </w:r>
            <w:r>
              <w:rPr>
                <w:rFonts w:hint="eastAsia" w:ascii="宋体" w:hAnsi="宋体"/>
                <w:szCs w:val="21"/>
              </w:rPr>
              <w:t>对项目建设改造区域分布状况熟悉、提供资料齐全、能够促进项目实施的得3分;对项目建设改造区域分布状况较熟悉、提供资料较齐全的得 2分;对项目改造区域分布状况了解一般、提供资料有缺漏的得 1分;其他情况不得分。</w:t>
            </w:r>
          </w:p>
          <w:p w14:paraId="05D2546E">
            <w:pPr>
              <w:widowControl/>
              <w:spacing w:line="440" w:lineRule="exact"/>
              <w:jc w:val="left"/>
              <w:rPr>
                <w:rFonts w:hint="eastAsia" w:ascii="宋体" w:hAnsi="宋体"/>
                <w:szCs w:val="21"/>
              </w:rPr>
            </w:pPr>
            <w:r>
              <w:rPr>
                <w:rFonts w:hint="eastAsia" w:ascii="宋体" w:hAnsi="宋体"/>
                <w:szCs w:val="21"/>
              </w:rPr>
              <w:t>备注需提供完整的踏勘报告，包括现场的图片及文字说明，未提供完整材料的本项不得分。</w:t>
            </w:r>
          </w:p>
        </w:tc>
        <w:tc>
          <w:tcPr>
            <w:tcW w:w="882" w:type="dxa"/>
            <w:vAlign w:val="center"/>
          </w:tcPr>
          <w:p w14:paraId="70FDA712">
            <w:pPr>
              <w:widowControl/>
              <w:spacing w:line="440" w:lineRule="exact"/>
              <w:jc w:val="center"/>
            </w:pPr>
            <w:r>
              <w:rPr>
                <w:rFonts w:hint="eastAsia"/>
              </w:rPr>
              <w:t>3</w:t>
            </w:r>
          </w:p>
        </w:tc>
      </w:tr>
      <w:tr w14:paraId="784B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27F4C552">
            <w:pPr>
              <w:widowControl/>
              <w:spacing w:line="440" w:lineRule="exact"/>
              <w:jc w:val="center"/>
            </w:pPr>
            <w:r>
              <w:rPr>
                <w:rFonts w:hint="eastAsia"/>
              </w:rPr>
              <w:t>11</w:t>
            </w:r>
          </w:p>
        </w:tc>
        <w:tc>
          <w:tcPr>
            <w:tcW w:w="7329" w:type="dxa"/>
            <w:vAlign w:val="center"/>
          </w:tcPr>
          <w:p w14:paraId="7442A544">
            <w:pPr>
              <w:widowControl/>
              <w:spacing w:line="440" w:lineRule="exact"/>
              <w:jc w:val="left"/>
              <w:rPr>
                <w:rFonts w:hint="eastAsia" w:ascii="宋体" w:hAnsi="宋体"/>
                <w:szCs w:val="21"/>
              </w:rPr>
            </w:pPr>
            <w:r>
              <w:rPr>
                <w:rFonts w:hint="eastAsia" w:ascii="宋体" w:hAnsi="宋体"/>
                <w:szCs w:val="21"/>
              </w:rPr>
              <w:t>根据投标人的设计、施工方案的可操作性，对技术的把握、应用程度进行评价。方案详实、完整、可操作且满足项目服务需求的得3分；方案部分详实或部分内容可操作性且满足项目服务需求的得2分；方案阐述简短但不影响项目实施的得1分；未提供的或者不满足本项目需求的不得分。</w:t>
            </w:r>
          </w:p>
        </w:tc>
        <w:tc>
          <w:tcPr>
            <w:tcW w:w="882" w:type="dxa"/>
            <w:vAlign w:val="center"/>
          </w:tcPr>
          <w:p w14:paraId="3BCB10AC">
            <w:pPr>
              <w:widowControl/>
              <w:spacing w:line="440" w:lineRule="exact"/>
              <w:jc w:val="center"/>
            </w:pPr>
            <w:r>
              <w:rPr>
                <w:rFonts w:hint="eastAsia"/>
              </w:rPr>
              <w:t>3</w:t>
            </w:r>
          </w:p>
        </w:tc>
      </w:tr>
      <w:tr w14:paraId="6D4B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64F1CDC9">
            <w:pPr>
              <w:widowControl/>
              <w:spacing w:line="440" w:lineRule="exact"/>
              <w:jc w:val="center"/>
            </w:pPr>
            <w:r>
              <w:rPr>
                <w:rFonts w:hint="eastAsia"/>
              </w:rPr>
              <w:t>12</w:t>
            </w:r>
          </w:p>
        </w:tc>
        <w:tc>
          <w:tcPr>
            <w:tcW w:w="7329" w:type="dxa"/>
            <w:vAlign w:val="center"/>
          </w:tcPr>
          <w:p w14:paraId="2B707708">
            <w:pPr>
              <w:widowControl/>
              <w:spacing w:line="440" w:lineRule="exact"/>
              <w:jc w:val="left"/>
              <w:rPr>
                <w:rFonts w:hint="eastAsia" w:ascii="宋体" w:hAnsi="宋体"/>
                <w:szCs w:val="21"/>
              </w:rPr>
            </w:pPr>
            <w:r>
              <w:rPr>
                <w:rFonts w:hint="eastAsia" w:ascii="宋体" w:hAnsi="宋体"/>
                <w:szCs w:val="21"/>
              </w:rPr>
              <w:t xml:space="preserve">对项目进度计划和各阶段进度保证措施进行评价。方案详实、完整、可操作且满足项目服务需求的得3分；方案部分详实或部分内容可操作性且满足项目服务需求的得2分；方案阐述简短但不影响项目实施的得1分；未提供的或者不满足本项目需求的不得分。 </w:t>
            </w:r>
          </w:p>
        </w:tc>
        <w:tc>
          <w:tcPr>
            <w:tcW w:w="882" w:type="dxa"/>
            <w:vAlign w:val="center"/>
          </w:tcPr>
          <w:p w14:paraId="14932DAC">
            <w:pPr>
              <w:widowControl/>
              <w:spacing w:line="440" w:lineRule="exact"/>
              <w:jc w:val="center"/>
            </w:pPr>
            <w:r>
              <w:rPr>
                <w:rFonts w:hint="eastAsia"/>
              </w:rPr>
              <w:t>3</w:t>
            </w:r>
          </w:p>
        </w:tc>
      </w:tr>
      <w:tr w14:paraId="004A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765474C6">
            <w:pPr>
              <w:widowControl/>
              <w:spacing w:line="440" w:lineRule="exact"/>
              <w:jc w:val="center"/>
            </w:pPr>
            <w:r>
              <w:rPr>
                <w:rFonts w:hint="eastAsia"/>
              </w:rPr>
              <w:t>13</w:t>
            </w:r>
          </w:p>
        </w:tc>
        <w:tc>
          <w:tcPr>
            <w:tcW w:w="7329" w:type="dxa"/>
            <w:vAlign w:val="center"/>
          </w:tcPr>
          <w:p w14:paraId="2110B995">
            <w:pPr>
              <w:widowControl/>
              <w:spacing w:line="440" w:lineRule="exact"/>
              <w:jc w:val="left"/>
              <w:rPr>
                <w:rFonts w:hint="eastAsia" w:ascii="宋体" w:hAnsi="宋体"/>
                <w:szCs w:val="21"/>
              </w:rPr>
            </w:pPr>
            <w:r>
              <w:rPr>
                <w:rFonts w:hint="eastAsia" w:ascii="宋体" w:hAnsi="宋体"/>
                <w:szCs w:val="21"/>
              </w:rPr>
              <w:t xml:space="preserve">施工过程中的质量保障措施进行评价。方案详实、完整、可操作且满足项目服务需求的得3分；方案部分详实或部分内容可操作性且满足项目服务需求的得2分；方案阐述简短但不影响项目实施的得1分；未提供的或者不满足本项目需求的不得分。 </w:t>
            </w:r>
          </w:p>
        </w:tc>
        <w:tc>
          <w:tcPr>
            <w:tcW w:w="882" w:type="dxa"/>
            <w:vAlign w:val="center"/>
          </w:tcPr>
          <w:p w14:paraId="19AC411A">
            <w:pPr>
              <w:widowControl/>
              <w:spacing w:line="440" w:lineRule="exact"/>
              <w:jc w:val="center"/>
            </w:pPr>
            <w:r>
              <w:rPr>
                <w:rFonts w:hint="eastAsia"/>
              </w:rPr>
              <w:t>3</w:t>
            </w:r>
          </w:p>
        </w:tc>
      </w:tr>
      <w:tr w14:paraId="2986E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11306DA5">
            <w:pPr>
              <w:widowControl/>
              <w:spacing w:line="440" w:lineRule="exact"/>
              <w:jc w:val="center"/>
            </w:pPr>
            <w:r>
              <w:rPr>
                <w:rFonts w:hint="eastAsia"/>
              </w:rPr>
              <w:t>14</w:t>
            </w:r>
          </w:p>
        </w:tc>
        <w:tc>
          <w:tcPr>
            <w:tcW w:w="7329" w:type="dxa"/>
            <w:vAlign w:val="center"/>
          </w:tcPr>
          <w:p w14:paraId="09EAFF3A">
            <w:pPr>
              <w:widowControl/>
              <w:tabs>
                <w:tab w:val="left" w:pos="720"/>
              </w:tabs>
              <w:spacing w:line="440" w:lineRule="exact"/>
              <w:ind w:right="18"/>
              <w:jc w:val="left"/>
              <w:rPr>
                <w:rFonts w:hint="eastAsia" w:ascii="宋体" w:hAnsi="宋体"/>
                <w:szCs w:val="21"/>
              </w:rPr>
            </w:pPr>
            <w:r>
              <w:rPr>
                <w:rFonts w:hint="eastAsia" w:ascii="宋体" w:hAnsi="宋体"/>
                <w:szCs w:val="21"/>
              </w:rPr>
              <w:t>根据投标人提供的可行性建议、后期管理方案等进行评价。方案详实、完整、可操作的得3分；方案部分详实或部分内容可操作的得2分；方案阐述简短但不影响项目实施的得1分；未提供的或者不满足本项目需求的不得分。</w:t>
            </w:r>
          </w:p>
        </w:tc>
        <w:tc>
          <w:tcPr>
            <w:tcW w:w="882" w:type="dxa"/>
            <w:vAlign w:val="center"/>
          </w:tcPr>
          <w:p w14:paraId="174E14F6">
            <w:pPr>
              <w:widowControl/>
              <w:spacing w:line="440" w:lineRule="exact"/>
              <w:jc w:val="center"/>
            </w:pPr>
            <w:r>
              <w:rPr>
                <w:rFonts w:hint="eastAsia"/>
              </w:rPr>
              <w:t>3</w:t>
            </w:r>
          </w:p>
        </w:tc>
      </w:tr>
      <w:tr w14:paraId="1F36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3830D324">
            <w:pPr>
              <w:widowControl/>
              <w:spacing w:line="440" w:lineRule="exact"/>
              <w:jc w:val="center"/>
            </w:pPr>
            <w:r>
              <w:rPr>
                <w:rFonts w:hint="eastAsia"/>
              </w:rPr>
              <w:t>15</w:t>
            </w:r>
          </w:p>
        </w:tc>
        <w:tc>
          <w:tcPr>
            <w:tcW w:w="7329" w:type="dxa"/>
            <w:vAlign w:val="center"/>
          </w:tcPr>
          <w:p w14:paraId="4420E697">
            <w:pPr>
              <w:widowControl/>
              <w:tabs>
                <w:tab w:val="left" w:pos="720"/>
              </w:tabs>
              <w:spacing w:line="440" w:lineRule="exact"/>
              <w:ind w:right="18"/>
              <w:jc w:val="left"/>
              <w:rPr>
                <w:rFonts w:hint="eastAsia" w:ascii="宋体" w:hAnsi="宋体"/>
                <w:szCs w:val="21"/>
              </w:rPr>
            </w:pPr>
            <w:r>
              <w:rPr>
                <w:rFonts w:hint="eastAsia" w:ascii="宋体" w:hAnsi="宋体"/>
                <w:szCs w:val="21"/>
              </w:rPr>
              <w:t>根据投标人提供的施工过程中应急预案方案（包括但不限于预防措施；应急措施；传达机制、人员和设备调配、责任分工），由评委进行评分：方案详实、完整、可操作的得3分；方案部分详实或部分内容可操作的得2分；方案阐述简短但不影响项目实施的得1分；未提供的或者不满足本项目需求的不得分。</w:t>
            </w:r>
          </w:p>
        </w:tc>
        <w:tc>
          <w:tcPr>
            <w:tcW w:w="882" w:type="dxa"/>
            <w:vAlign w:val="center"/>
          </w:tcPr>
          <w:p w14:paraId="3D3B18E1">
            <w:pPr>
              <w:widowControl/>
              <w:spacing w:line="440" w:lineRule="exact"/>
              <w:jc w:val="center"/>
            </w:pPr>
            <w:r>
              <w:rPr>
                <w:rFonts w:hint="eastAsia"/>
              </w:rPr>
              <w:t>3</w:t>
            </w:r>
          </w:p>
        </w:tc>
      </w:tr>
      <w:tr w14:paraId="7FC23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10927959">
            <w:pPr>
              <w:widowControl/>
              <w:spacing w:line="440" w:lineRule="exact"/>
              <w:jc w:val="center"/>
            </w:pPr>
            <w:r>
              <w:rPr>
                <w:rFonts w:hint="eastAsia"/>
              </w:rPr>
              <w:t>16</w:t>
            </w:r>
          </w:p>
        </w:tc>
        <w:tc>
          <w:tcPr>
            <w:tcW w:w="7329" w:type="dxa"/>
            <w:vAlign w:val="center"/>
          </w:tcPr>
          <w:p w14:paraId="5E460BFE">
            <w:pPr>
              <w:widowControl/>
              <w:tabs>
                <w:tab w:val="left" w:pos="720"/>
              </w:tabs>
              <w:spacing w:line="440" w:lineRule="exact"/>
              <w:ind w:right="18"/>
              <w:jc w:val="left"/>
              <w:rPr>
                <w:rFonts w:hint="eastAsia" w:ascii="宋体" w:hAnsi="宋体"/>
                <w:szCs w:val="21"/>
              </w:rPr>
            </w:pPr>
            <w:r>
              <w:rPr>
                <w:rFonts w:hint="eastAsia" w:ascii="宋体" w:hAnsi="宋体"/>
                <w:szCs w:val="21"/>
              </w:rPr>
              <w:t>投标人在施工改造期内出现紧急或者特殊问题时，承诺在1小时内处理解决的得3分，承诺在2小时内处理解决的得2分；承诺在3小时内处理解决的得1分；其他情况不得分。供应商须提供书面承诺函及相关佐证材料并加盖供应商公章。</w:t>
            </w:r>
          </w:p>
        </w:tc>
        <w:tc>
          <w:tcPr>
            <w:tcW w:w="882" w:type="dxa"/>
            <w:vAlign w:val="center"/>
          </w:tcPr>
          <w:p w14:paraId="4047061C">
            <w:pPr>
              <w:widowControl/>
              <w:spacing w:line="440" w:lineRule="exact"/>
              <w:jc w:val="center"/>
            </w:pPr>
            <w:r>
              <w:rPr>
                <w:rFonts w:hint="eastAsia"/>
              </w:rPr>
              <w:t>3</w:t>
            </w:r>
          </w:p>
        </w:tc>
      </w:tr>
      <w:tr w14:paraId="517E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3295B93F">
            <w:pPr>
              <w:widowControl/>
              <w:spacing w:line="440" w:lineRule="exact"/>
              <w:jc w:val="center"/>
            </w:pPr>
            <w:r>
              <w:rPr>
                <w:rFonts w:hint="eastAsia"/>
              </w:rPr>
              <w:t>17</w:t>
            </w:r>
          </w:p>
        </w:tc>
        <w:tc>
          <w:tcPr>
            <w:tcW w:w="7329" w:type="dxa"/>
            <w:vAlign w:val="center"/>
          </w:tcPr>
          <w:p w14:paraId="34F06C52">
            <w:pPr>
              <w:widowControl/>
              <w:tabs>
                <w:tab w:val="left" w:pos="720"/>
              </w:tabs>
              <w:spacing w:line="440" w:lineRule="exact"/>
              <w:ind w:right="18"/>
              <w:jc w:val="left"/>
              <w:rPr>
                <w:rFonts w:hint="eastAsia" w:ascii="宋体" w:hAnsi="宋体"/>
                <w:szCs w:val="21"/>
              </w:rPr>
            </w:pPr>
            <w:r>
              <w:rPr>
                <w:rFonts w:hint="eastAsia" w:ascii="宋体" w:hAnsi="宋体"/>
                <w:szCs w:val="21"/>
              </w:rPr>
              <w:t>根据投标人对施工现场人员的管理制度进行评价，管理制度完整且包含培训、安全责任、考核机制的得</w:t>
            </w:r>
            <w:r>
              <w:rPr>
                <w:rFonts w:hint="eastAsia" w:ascii="宋体" w:hAnsi="宋体"/>
                <w:szCs w:val="21"/>
                <w:lang w:val="en-US" w:eastAsia="zh-CN"/>
              </w:rPr>
              <w:t>3</w:t>
            </w:r>
            <w:r>
              <w:rPr>
                <w:rFonts w:hint="eastAsia" w:ascii="宋体" w:hAnsi="宋体"/>
                <w:szCs w:val="21"/>
              </w:rPr>
              <w:t>分；部分缺失但可行的得</w:t>
            </w:r>
            <w:r>
              <w:rPr>
                <w:rFonts w:hint="eastAsia" w:ascii="宋体" w:hAnsi="宋体"/>
                <w:szCs w:val="21"/>
                <w:lang w:val="en-US" w:eastAsia="zh-CN"/>
              </w:rPr>
              <w:t>2</w:t>
            </w:r>
            <w:r>
              <w:rPr>
                <w:rFonts w:hint="eastAsia" w:ascii="宋体" w:hAnsi="宋体"/>
                <w:szCs w:val="21"/>
              </w:rPr>
              <w:t>分；未提供或不可行的不得分。</w:t>
            </w:r>
          </w:p>
        </w:tc>
        <w:tc>
          <w:tcPr>
            <w:tcW w:w="882" w:type="dxa"/>
            <w:vAlign w:val="center"/>
          </w:tcPr>
          <w:p w14:paraId="067855BE">
            <w:pPr>
              <w:widowControl/>
              <w:spacing w:line="440" w:lineRule="exact"/>
              <w:jc w:val="center"/>
              <w:rPr>
                <w:rFonts w:hint="eastAsia" w:eastAsia="宋体"/>
                <w:lang w:eastAsia="zh-CN"/>
              </w:rPr>
            </w:pPr>
            <w:r>
              <w:rPr>
                <w:rFonts w:hint="eastAsia"/>
                <w:lang w:val="en-US" w:eastAsia="zh-CN"/>
              </w:rPr>
              <w:t>3</w:t>
            </w:r>
          </w:p>
        </w:tc>
      </w:tr>
      <w:tr w14:paraId="4433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04202E02">
            <w:pPr>
              <w:widowControl/>
              <w:spacing w:line="440" w:lineRule="exact"/>
              <w:jc w:val="center"/>
              <w:rPr>
                <w:rFonts w:hint="default"/>
                <w:color w:val="auto"/>
                <w:lang w:val="en-US" w:eastAsia="zh-CN"/>
              </w:rPr>
            </w:pPr>
            <w:r>
              <w:rPr>
                <w:rFonts w:hint="eastAsia" w:ascii="宋体" w:hAnsi="宋体"/>
                <w:color w:val="auto"/>
                <w:szCs w:val="21"/>
                <w:lang w:val="en-US" w:eastAsia="zh-CN"/>
              </w:rPr>
              <w:t>18</w:t>
            </w:r>
          </w:p>
        </w:tc>
        <w:tc>
          <w:tcPr>
            <w:tcW w:w="7329" w:type="dxa"/>
            <w:vAlign w:val="center"/>
          </w:tcPr>
          <w:p w14:paraId="6E2463D6">
            <w:pPr>
              <w:widowControl/>
              <w:spacing w:line="440" w:lineRule="exact"/>
              <w:jc w:val="left"/>
              <w:rPr>
                <w:rFonts w:hint="eastAsia" w:ascii="宋体" w:hAnsi="宋体"/>
                <w:color w:val="auto"/>
                <w:szCs w:val="21"/>
              </w:rPr>
            </w:pPr>
            <w:r>
              <w:rPr>
                <w:rFonts w:hint="eastAsia" w:ascii="宋体" w:hAnsi="宋体"/>
                <w:color w:val="auto"/>
                <w:szCs w:val="21"/>
              </w:rPr>
              <w:t xml:space="preserve">投标人应设计智能化消防管理方案，需包含：1. </w:t>
            </w:r>
            <w:r>
              <w:rPr>
                <w:rFonts w:hint="eastAsia" w:ascii="宋体" w:hAnsi="宋体"/>
                <w:color w:val="auto"/>
                <w:szCs w:val="21"/>
                <w:lang w:val="en-US" w:eastAsia="zh-CN"/>
              </w:rPr>
              <w:t>烟感、温感</w:t>
            </w:r>
            <w:r>
              <w:rPr>
                <w:rFonts w:hint="eastAsia" w:ascii="宋体" w:hAnsi="宋体"/>
                <w:color w:val="auto"/>
                <w:szCs w:val="21"/>
              </w:rPr>
              <w:t>设备部署方案；2. 数据接入消防</w:t>
            </w:r>
            <w:r>
              <w:rPr>
                <w:rFonts w:hint="eastAsia" w:ascii="宋体" w:hAnsi="宋体"/>
                <w:color w:val="auto"/>
                <w:szCs w:val="21"/>
                <w:lang w:val="en-US" w:eastAsia="zh-CN"/>
              </w:rPr>
              <w:t>控制室</w:t>
            </w:r>
            <w:r>
              <w:rPr>
                <w:rFonts w:hint="eastAsia" w:ascii="宋体" w:hAnsi="宋体"/>
                <w:color w:val="auto"/>
                <w:szCs w:val="21"/>
              </w:rPr>
              <w:t>；3. 智能预警与远程控制功能（如自动推送报警至管理人员手机端）</w:t>
            </w:r>
            <w:r>
              <w:rPr>
                <w:rFonts w:hint="eastAsia" w:ascii="宋体" w:hAnsi="宋体"/>
                <w:color w:val="auto"/>
                <w:szCs w:val="21"/>
                <w:lang w:eastAsia="zh-CN"/>
              </w:rPr>
              <w:t>。</w:t>
            </w:r>
            <w:r>
              <w:rPr>
                <w:rFonts w:hint="eastAsia" w:ascii="宋体" w:hAnsi="宋体"/>
                <w:color w:val="auto"/>
                <w:szCs w:val="21"/>
              </w:rPr>
              <w:t>评分标准：全部满足得3分；部分实现（缺1项）得2分；仅基础功能描述得1分；未提供不得分。</w:t>
            </w:r>
          </w:p>
        </w:tc>
        <w:tc>
          <w:tcPr>
            <w:tcW w:w="882" w:type="dxa"/>
            <w:vAlign w:val="center"/>
          </w:tcPr>
          <w:p w14:paraId="0312C38E">
            <w:pPr>
              <w:widowControl/>
              <w:spacing w:line="440" w:lineRule="exact"/>
              <w:jc w:val="center"/>
              <w:rPr>
                <w:rFonts w:hint="default"/>
                <w:color w:val="auto"/>
                <w:lang w:val="en-US"/>
              </w:rPr>
            </w:pPr>
            <w:r>
              <w:rPr>
                <w:rFonts w:hint="eastAsia" w:ascii="宋体" w:hAnsi="宋体"/>
                <w:color w:val="auto"/>
                <w:szCs w:val="21"/>
                <w:lang w:val="en-US" w:eastAsia="zh-CN"/>
              </w:rPr>
              <w:t>3</w:t>
            </w:r>
          </w:p>
        </w:tc>
      </w:tr>
      <w:tr w14:paraId="3ACE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jc w:val="center"/>
        </w:trPr>
        <w:tc>
          <w:tcPr>
            <w:tcW w:w="644" w:type="dxa"/>
            <w:vAlign w:val="center"/>
          </w:tcPr>
          <w:p w14:paraId="36041F23">
            <w:pPr>
              <w:widowControl/>
              <w:spacing w:line="440" w:lineRule="exact"/>
              <w:jc w:val="center"/>
              <w:rPr>
                <w:rFonts w:hint="default" w:ascii="宋体" w:hAnsi="宋体"/>
                <w:color w:val="auto"/>
                <w:szCs w:val="21"/>
                <w:lang w:val="en-US" w:eastAsia="zh-CN"/>
              </w:rPr>
            </w:pPr>
            <w:r>
              <w:rPr>
                <w:rFonts w:hint="eastAsia" w:ascii="宋体" w:hAnsi="宋体"/>
                <w:color w:val="auto"/>
                <w:szCs w:val="21"/>
                <w:lang w:val="en-US" w:eastAsia="zh-CN"/>
              </w:rPr>
              <w:t>19</w:t>
            </w:r>
          </w:p>
        </w:tc>
        <w:tc>
          <w:tcPr>
            <w:tcW w:w="7329" w:type="dxa"/>
            <w:shd w:val="clear" w:color="auto" w:fill="auto"/>
            <w:vAlign w:val="center"/>
          </w:tcPr>
          <w:p w14:paraId="019A0680">
            <w:pPr>
              <w:widowControl/>
              <w:spacing w:line="440" w:lineRule="exact"/>
              <w:jc w:val="left"/>
              <w:rPr>
                <w:rFonts w:hint="eastAsia" w:ascii="宋体" w:hAnsi="宋体" w:eastAsia="宋体" w:cs="Times New Roman"/>
                <w:color w:val="auto"/>
                <w:kern w:val="2"/>
                <w:sz w:val="21"/>
                <w:szCs w:val="21"/>
                <w:lang w:val="en-US" w:eastAsia="zh-CN" w:bidi="ar-SA"/>
              </w:rPr>
            </w:pPr>
            <w:r>
              <w:rPr>
                <w:rFonts w:hint="eastAsia" w:ascii="宋体" w:hAnsi="宋体"/>
                <w:color w:val="auto"/>
                <w:szCs w:val="21"/>
              </w:rPr>
              <w:t>近3年无安全生产事故记录，并提供文明施工方案（含成品保护、保洁措施等），全部满足得2分；部分满足得1分</w:t>
            </w:r>
            <w:r>
              <w:rPr>
                <w:rFonts w:hint="eastAsia" w:ascii="宋体" w:hAnsi="宋体"/>
                <w:color w:val="auto"/>
                <w:szCs w:val="21"/>
                <w:lang w:val="en-US" w:eastAsia="zh-CN"/>
              </w:rPr>
              <w:t>,不提供或严重偏离实际得0分</w:t>
            </w:r>
            <w:r>
              <w:rPr>
                <w:rFonts w:hint="eastAsia" w:ascii="宋体" w:hAnsi="宋体"/>
                <w:color w:val="auto"/>
                <w:szCs w:val="21"/>
              </w:rPr>
              <w:t>。</w:t>
            </w:r>
          </w:p>
        </w:tc>
        <w:tc>
          <w:tcPr>
            <w:tcW w:w="882" w:type="dxa"/>
            <w:shd w:val="clear" w:color="auto" w:fill="auto"/>
            <w:vAlign w:val="center"/>
          </w:tcPr>
          <w:p w14:paraId="4C7B696F">
            <w:pPr>
              <w:widowControl/>
              <w:spacing w:line="440" w:lineRule="exact"/>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Cs w:val="21"/>
                <w:lang w:val="en-US" w:eastAsia="zh-CN"/>
              </w:rPr>
              <w:t>2</w:t>
            </w:r>
          </w:p>
        </w:tc>
      </w:tr>
    </w:tbl>
    <w:p w14:paraId="4B678C89">
      <w:pPr>
        <w:rPr>
          <w:rFonts w:hint="eastAsia"/>
          <w:b/>
          <w:color w:val="auto"/>
          <w:sz w:val="24"/>
          <w:szCs w:val="24"/>
        </w:rPr>
      </w:pPr>
    </w:p>
    <w:p w14:paraId="735C7523">
      <w:pPr>
        <w:rPr>
          <w:rFonts w:hint="eastAsia"/>
          <w:b/>
          <w:color w:val="auto"/>
          <w:sz w:val="24"/>
          <w:szCs w:val="24"/>
        </w:rPr>
      </w:pPr>
      <w:r>
        <w:rPr>
          <w:rFonts w:hint="eastAsia"/>
          <w:b/>
          <w:color w:val="auto"/>
          <w:sz w:val="24"/>
          <w:szCs w:val="24"/>
        </w:rPr>
        <w:t>（二）商务评分（F2）标准（满分</w:t>
      </w:r>
      <w:r>
        <w:rPr>
          <w:rFonts w:hint="eastAsia"/>
          <w:b/>
          <w:color w:val="auto"/>
          <w:sz w:val="24"/>
          <w:szCs w:val="24"/>
          <w:lang w:val="en-US" w:eastAsia="zh-CN"/>
        </w:rPr>
        <w:t>24</w:t>
      </w:r>
      <w:r>
        <w:rPr>
          <w:rFonts w:hint="eastAsia"/>
          <w:b/>
          <w:color w:val="auto"/>
          <w:sz w:val="24"/>
          <w:szCs w:val="24"/>
        </w:rPr>
        <w:t>分）：</w:t>
      </w:r>
    </w:p>
    <w:tbl>
      <w:tblPr>
        <w:tblStyle w:val="13"/>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7190"/>
        <w:gridCol w:w="924"/>
      </w:tblGrid>
      <w:tr w14:paraId="3400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3D60953B">
            <w:pPr>
              <w:widowControl/>
              <w:spacing w:line="440" w:lineRule="exact"/>
              <w:jc w:val="center"/>
              <w:rPr>
                <w:rFonts w:hint="eastAsia" w:ascii="宋体" w:hAnsi="宋体"/>
                <w:color w:val="auto"/>
                <w:szCs w:val="21"/>
              </w:rPr>
            </w:pPr>
            <w:r>
              <w:rPr>
                <w:rFonts w:hint="eastAsia" w:ascii="宋体" w:hAnsi="宋体"/>
                <w:color w:val="auto"/>
                <w:szCs w:val="21"/>
              </w:rPr>
              <w:t>序号</w:t>
            </w:r>
          </w:p>
        </w:tc>
        <w:tc>
          <w:tcPr>
            <w:tcW w:w="7190" w:type="dxa"/>
            <w:vAlign w:val="center"/>
          </w:tcPr>
          <w:p w14:paraId="536FA518">
            <w:pPr>
              <w:widowControl/>
              <w:spacing w:line="440" w:lineRule="exact"/>
              <w:jc w:val="center"/>
              <w:rPr>
                <w:rFonts w:hint="eastAsia" w:ascii="宋体" w:hAnsi="宋体"/>
                <w:color w:val="auto"/>
                <w:szCs w:val="21"/>
              </w:rPr>
            </w:pPr>
            <w:r>
              <w:rPr>
                <w:rFonts w:hint="eastAsia" w:ascii="宋体" w:hAnsi="宋体"/>
                <w:color w:val="auto"/>
                <w:szCs w:val="21"/>
              </w:rPr>
              <w:t>评分界定</w:t>
            </w:r>
          </w:p>
        </w:tc>
        <w:tc>
          <w:tcPr>
            <w:tcW w:w="924" w:type="dxa"/>
            <w:vAlign w:val="center"/>
          </w:tcPr>
          <w:p w14:paraId="0FEB3E8A">
            <w:pPr>
              <w:widowControl/>
              <w:spacing w:line="440" w:lineRule="exact"/>
              <w:jc w:val="center"/>
              <w:rPr>
                <w:rFonts w:hint="eastAsia" w:ascii="宋体" w:hAnsi="宋体"/>
                <w:color w:val="auto"/>
                <w:szCs w:val="21"/>
              </w:rPr>
            </w:pPr>
            <w:r>
              <w:rPr>
                <w:rFonts w:hint="eastAsia" w:ascii="宋体" w:hAnsi="宋体"/>
                <w:color w:val="auto"/>
                <w:szCs w:val="21"/>
              </w:rPr>
              <w:t>分值</w:t>
            </w:r>
          </w:p>
        </w:tc>
      </w:tr>
      <w:tr w14:paraId="365C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23A17772">
            <w:pPr>
              <w:widowControl/>
              <w:spacing w:line="440" w:lineRule="exact"/>
              <w:jc w:val="center"/>
              <w:rPr>
                <w:rFonts w:hint="eastAsia" w:ascii="宋体" w:hAnsi="宋体" w:eastAsia="宋体"/>
                <w:color w:val="auto"/>
                <w:szCs w:val="21"/>
                <w:lang w:val="en-US" w:eastAsia="zh-CN"/>
              </w:rPr>
            </w:pPr>
            <w:r>
              <w:rPr>
                <w:rFonts w:hint="eastAsia" w:ascii="宋体" w:hAnsi="宋体"/>
                <w:color w:val="auto"/>
                <w:szCs w:val="21"/>
                <w:lang w:val="en-US" w:eastAsia="zh-CN"/>
              </w:rPr>
              <w:t>1</w:t>
            </w:r>
          </w:p>
        </w:tc>
        <w:tc>
          <w:tcPr>
            <w:tcW w:w="7190" w:type="dxa"/>
            <w:vAlign w:val="center"/>
          </w:tcPr>
          <w:p w14:paraId="047005B1">
            <w:pPr>
              <w:widowControl/>
              <w:spacing w:line="440" w:lineRule="exact"/>
              <w:jc w:val="left"/>
              <w:rPr>
                <w:color w:val="auto"/>
              </w:rPr>
            </w:pPr>
            <w:r>
              <w:rPr>
                <w:rFonts w:hint="eastAsia"/>
                <w:color w:val="auto"/>
              </w:rPr>
              <w:t>投标人</w:t>
            </w:r>
            <w:r>
              <w:rPr>
                <w:rFonts w:hint="eastAsia" w:ascii="宋体" w:hAnsi="宋体"/>
                <w:color w:val="auto"/>
                <w:szCs w:val="21"/>
              </w:rPr>
              <w:t>具备消防设施工程专业</w:t>
            </w:r>
            <w:r>
              <w:rPr>
                <w:rFonts w:hint="eastAsia" w:ascii="宋体" w:hAnsi="宋体"/>
                <w:color w:val="auto"/>
                <w:szCs w:val="21"/>
                <w:lang w:val="en-US" w:eastAsia="zh-CN"/>
              </w:rPr>
              <w:t>一级</w:t>
            </w:r>
            <w:r>
              <w:rPr>
                <w:rFonts w:hint="eastAsia" w:ascii="宋体" w:hAnsi="宋体"/>
                <w:color w:val="auto"/>
                <w:szCs w:val="21"/>
              </w:rPr>
              <w:t>承包资质、ISO质量管理体系认证、</w:t>
            </w:r>
            <w:r>
              <w:rPr>
                <w:rFonts w:hint="eastAsia" w:ascii="宋体" w:hAnsi="宋体"/>
                <w:color w:val="auto"/>
                <w:szCs w:val="21"/>
                <w:lang w:val="en-US" w:eastAsia="zh-CN"/>
              </w:rPr>
              <w:t>环境管理体系</w:t>
            </w:r>
            <w:r>
              <w:rPr>
                <w:rFonts w:hint="eastAsia" w:ascii="宋体" w:hAnsi="宋体"/>
                <w:color w:val="auto"/>
                <w:szCs w:val="21"/>
              </w:rPr>
              <w:t>认证等，全部满足得3分；每缺少一项扣1分。</w:t>
            </w:r>
          </w:p>
        </w:tc>
        <w:tc>
          <w:tcPr>
            <w:tcW w:w="924" w:type="dxa"/>
            <w:vAlign w:val="center"/>
          </w:tcPr>
          <w:p w14:paraId="58971065">
            <w:pPr>
              <w:widowControl/>
              <w:spacing w:line="44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3</w:t>
            </w:r>
          </w:p>
        </w:tc>
      </w:tr>
      <w:tr w14:paraId="1E98F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59AE8D0A">
            <w:pPr>
              <w:widowControl/>
              <w:spacing w:line="440" w:lineRule="exact"/>
              <w:jc w:val="center"/>
              <w:rPr>
                <w:rFonts w:hint="default" w:ascii="宋体" w:hAnsi="宋体"/>
                <w:color w:val="auto"/>
                <w:szCs w:val="21"/>
                <w:lang w:val="en-US" w:eastAsia="zh-CN"/>
              </w:rPr>
            </w:pPr>
            <w:r>
              <w:rPr>
                <w:rFonts w:hint="eastAsia" w:ascii="宋体" w:hAnsi="宋体"/>
                <w:color w:val="auto"/>
                <w:szCs w:val="21"/>
                <w:lang w:val="en-US" w:eastAsia="zh-CN"/>
              </w:rPr>
              <w:t>2</w:t>
            </w:r>
          </w:p>
        </w:tc>
        <w:tc>
          <w:tcPr>
            <w:tcW w:w="7190" w:type="dxa"/>
            <w:vAlign w:val="center"/>
          </w:tcPr>
          <w:p w14:paraId="52014709">
            <w:pPr>
              <w:widowControl/>
              <w:spacing w:line="440" w:lineRule="exact"/>
              <w:jc w:val="left"/>
              <w:rPr>
                <w:rFonts w:hint="eastAsia"/>
                <w:color w:val="auto"/>
              </w:rPr>
            </w:pPr>
            <w:r>
              <w:rPr>
                <w:rFonts w:hint="eastAsia" w:ascii="宋体" w:hAnsi="宋体"/>
                <w:szCs w:val="21"/>
              </w:rPr>
              <w:t>投标人具备消防设施工程设计资质得</w:t>
            </w:r>
            <w:r>
              <w:rPr>
                <w:rFonts w:hint="eastAsia" w:ascii="宋体" w:hAnsi="宋体"/>
                <w:szCs w:val="21"/>
                <w:lang w:val="en-US" w:eastAsia="zh-CN"/>
              </w:rPr>
              <w:t>2</w:t>
            </w:r>
            <w:r>
              <w:rPr>
                <w:rFonts w:hint="eastAsia" w:ascii="宋体" w:hAnsi="宋体"/>
                <w:szCs w:val="21"/>
              </w:rPr>
              <w:t>分</w:t>
            </w:r>
            <w:r>
              <w:rPr>
                <w:rFonts w:hint="eastAsia" w:ascii="宋体" w:hAnsi="宋体"/>
                <w:szCs w:val="21"/>
                <w:lang w:eastAsia="zh-CN"/>
              </w:rPr>
              <w:t>，</w:t>
            </w:r>
            <w:r>
              <w:rPr>
                <w:rFonts w:hint="eastAsia" w:ascii="宋体" w:hAnsi="宋体"/>
                <w:szCs w:val="21"/>
              </w:rPr>
              <w:t>具备建筑装饰工程设计资质得</w:t>
            </w:r>
            <w:r>
              <w:rPr>
                <w:rFonts w:hint="eastAsia" w:ascii="宋体" w:hAnsi="宋体"/>
                <w:szCs w:val="21"/>
                <w:lang w:val="en-US" w:eastAsia="zh-CN"/>
              </w:rPr>
              <w:t>1</w:t>
            </w:r>
            <w:r>
              <w:rPr>
                <w:rFonts w:hint="eastAsia" w:ascii="宋体" w:hAnsi="宋体"/>
                <w:szCs w:val="21"/>
              </w:rPr>
              <w:t>分，</w:t>
            </w:r>
            <w:r>
              <w:rPr>
                <w:rFonts w:hint="eastAsia" w:ascii="宋体" w:hAnsi="宋体"/>
                <w:szCs w:val="21"/>
                <w:lang w:val="en-US" w:eastAsia="zh-CN"/>
              </w:rPr>
              <w:t>全部满足得3分，</w:t>
            </w:r>
            <w:r>
              <w:rPr>
                <w:rFonts w:hint="eastAsia" w:ascii="宋体" w:hAnsi="宋体"/>
                <w:szCs w:val="21"/>
              </w:rPr>
              <w:t>未提供有效证明材料的不得分。</w:t>
            </w:r>
          </w:p>
        </w:tc>
        <w:tc>
          <w:tcPr>
            <w:tcW w:w="924" w:type="dxa"/>
            <w:vAlign w:val="center"/>
          </w:tcPr>
          <w:p w14:paraId="3326E5F4">
            <w:pPr>
              <w:widowControl/>
              <w:spacing w:line="440" w:lineRule="exact"/>
              <w:jc w:val="center"/>
              <w:rPr>
                <w:rFonts w:hint="default" w:ascii="宋体" w:hAnsi="宋体"/>
                <w:color w:val="auto"/>
                <w:szCs w:val="21"/>
                <w:lang w:val="en-US" w:eastAsia="zh-CN"/>
              </w:rPr>
            </w:pPr>
            <w:r>
              <w:rPr>
                <w:rFonts w:hint="eastAsia" w:ascii="宋体" w:hAnsi="宋体"/>
                <w:color w:val="auto"/>
                <w:szCs w:val="21"/>
                <w:lang w:val="en-US" w:eastAsia="zh-CN"/>
              </w:rPr>
              <w:t>3</w:t>
            </w:r>
          </w:p>
        </w:tc>
      </w:tr>
      <w:tr w14:paraId="27A8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651225AC">
            <w:pPr>
              <w:widowControl/>
              <w:spacing w:line="440" w:lineRule="exact"/>
              <w:jc w:val="center"/>
              <w:rPr>
                <w:rFonts w:hint="default" w:ascii="宋体" w:hAnsi="宋体"/>
                <w:color w:val="auto"/>
                <w:szCs w:val="21"/>
                <w:lang w:val="en-US" w:eastAsia="zh-CN"/>
              </w:rPr>
            </w:pPr>
            <w:r>
              <w:rPr>
                <w:rFonts w:hint="eastAsia" w:ascii="宋体" w:hAnsi="宋体"/>
                <w:color w:val="auto"/>
                <w:szCs w:val="21"/>
                <w:lang w:val="en-US" w:eastAsia="zh-CN"/>
              </w:rPr>
              <w:t>3</w:t>
            </w:r>
          </w:p>
        </w:tc>
        <w:tc>
          <w:tcPr>
            <w:tcW w:w="7190" w:type="dxa"/>
            <w:vAlign w:val="center"/>
          </w:tcPr>
          <w:p w14:paraId="3096ADE9">
            <w:pPr>
              <w:widowControl/>
              <w:spacing w:line="440" w:lineRule="exact"/>
              <w:jc w:val="left"/>
              <w:rPr>
                <w:rFonts w:hint="eastAsia" w:ascii="宋体" w:hAnsi="宋体"/>
                <w:szCs w:val="21"/>
              </w:rPr>
            </w:pPr>
            <w:r>
              <w:rPr>
                <w:rFonts w:hint="eastAsia" w:asciiTheme="minorEastAsia" w:hAnsiTheme="minorEastAsia" w:eastAsiaTheme="minorEastAsia"/>
                <w:color w:val="000000" w:themeColor="text1"/>
                <w:sz w:val="21"/>
                <w:szCs w:val="21"/>
                <w:highlight w:val="none"/>
                <w:lang w:val="en-US" w:eastAsia="zh-CN"/>
                <w14:textFill>
                  <w14:solidFill>
                    <w14:schemeClr w14:val="tx1"/>
                  </w14:solidFill>
                </w14:textFill>
              </w:rPr>
              <w:t>投标人具有</w:t>
            </w:r>
            <w:r>
              <w:rPr>
                <w:rFonts w:hint="eastAsia" w:asciiTheme="minorEastAsia" w:hAnsiTheme="minorEastAsia" w:eastAsiaTheme="minorEastAsia"/>
                <w:color w:val="000000" w:themeColor="text1"/>
                <w:sz w:val="21"/>
                <w:szCs w:val="21"/>
                <w:highlight w:val="none"/>
                <w14:textFill>
                  <w14:solidFill>
                    <w14:schemeClr w14:val="tx1"/>
                  </w14:solidFill>
                </w14:textFill>
              </w:rPr>
              <w:t>承装（修、试）电</w:t>
            </w:r>
            <w:r>
              <w:rPr>
                <w:rFonts w:hint="eastAsia" w:asciiTheme="minorEastAsia" w:hAnsiTheme="minorEastAsia" w:eastAsiaTheme="minorEastAsia"/>
                <w:color w:val="000000" w:themeColor="text1"/>
                <w:sz w:val="21"/>
                <w:szCs w:val="21"/>
                <w:highlight w:val="none"/>
                <w:lang w:val="en-US" w:eastAsia="zh-CN"/>
                <w14:textFill>
                  <w14:solidFill>
                    <w14:schemeClr w14:val="tx1"/>
                  </w14:solidFill>
                </w14:textFill>
              </w:rPr>
              <w:t>力</w:t>
            </w:r>
            <w:r>
              <w:rPr>
                <w:rFonts w:hint="eastAsia" w:asciiTheme="minorEastAsia" w:hAnsiTheme="minorEastAsia" w:eastAsiaTheme="minorEastAsia"/>
                <w:color w:val="000000" w:themeColor="text1"/>
                <w:sz w:val="21"/>
                <w:szCs w:val="21"/>
                <w:highlight w:val="none"/>
                <w14:textFill>
                  <w14:solidFill>
                    <w14:schemeClr w14:val="tx1"/>
                  </w14:solidFill>
                </w14:textFill>
              </w:rPr>
              <w:t>设施许可证</w:t>
            </w:r>
            <w:r>
              <w:rPr>
                <w:rFonts w:hint="eastAsia" w:asciiTheme="minorEastAsia" w:hAnsiTheme="minorEastAsia" w:eastAsia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 w:val="21"/>
                <w:szCs w:val="21"/>
                <w:highlight w:val="none"/>
                <w:lang w:val="en-US" w:eastAsia="zh-CN"/>
                <w14:textFill>
                  <w14:solidFill>
                    <w14:schemeClr w14:val="tx1"/>
                  </w14:solidFill>
                </w14:textFill>
              </w:rPr>
              <w:t>承装、承修、承试类四级及以上资质得2分</w:t>
            </w:r>
          </w:p>
        </w:tc>
        <w:tc>
          <w:tcPr>
            <w:tcW w:w="924" w:type="dxa"/>
            <w:vAlign w:val="center"/>
          </w:tcPr>
          <w:p w14:paraId="110C1B44">
            <w:pPr>
              <w:widowControl/>
              <w:spacing w:line="440" w:lineRule="exact"/>
              <w:jc w:val="center"/>
              <w:rPr>
                <w:rFonts w:hint="default" w:ascii="宋体" w:hAnsi="宋体"/>
                <w:color w:val="auto"/>
                <w:szCs w:val="21"/>
                <w:lang w:val="en-US" w:eastAsia="zh-CN"/>
              </w:rPr>
            </w:pPr>
            <w:r>
              <w:rPr>
                <w:rFonts w:hint="eastAsia" w:ascii="宋体" w:hAnsi="宋体"/>
                <w:color w:val="auto"/>
                <w:szCs w:val="21"/>
                <w:lang w:val="en-US" w:eastAsia="zh-CN"/>
              </w:rPr>
              <w:t>2</w:t>
            </w:r>
          </w:p>
        </w:tc>
      </w:tr>
      <w:tr w14:paraId="53FD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7C1F9109">
            <w:pPr>
              <w:widowControl/>
              <w:spacing w:line="44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4</w:t>
            </w:r>
          </w:p>
        </w:tc>
        <w:tc>
          <w:tcPr>
            <w:tcW w:w="7190" w:type="dxa"/>
            <w:shd w:val="clear" w:color="auto" w:fill="auto"/>
            <w:vAlign w:val="center"/>
          </w:tcPr>
          <w:p w14:paraId="651A81AC">
            <w:pPr>
              <w:widowControl/>
              <w:spacing w:line="440" w:lineRule="exact"/>
              <w:jc w:val="left"/>
              <w:rPr>
                <w:rFonts w:hint="eastAsia" w:ascii="Calibri" w:hAnsi="Calibri" w:eastAsia="宋体" w:cs="Times New Roman"/>
                <w:color w:val="auto"/>
                <w:kern w:val="2"/>
                <w:sz w:val="21"/>
                <w:szCs w:val="22"/>
                <w:lang w:val="en-US" w:eastAsia="zh-CN" w:bidi="ar-SA"/>
              </w:rPr>
            </w:pPr>
            <w:r>
              <w:rPr>
                <w:rFonts w:hint="eastAsia" w:asciiTheme="minorEastAsia" w:hAnsiTheme="minorEastAsia" w:eastAsiaTheme="minorEastAsia"/>
                <w:color w:val="auto"/>
                <w:sz w:val="21"/>
                <w:szCs w:val="21"/>
                <w:highlight w:val="none"/>
                <w:lang w:val="en-US" w:eastAsia="zh-CN"/>
              </w:rPr>
              <w:t>投标人</w:t>
            </w:r>
            <w:r>
              <w:rPr>
                <w:rFonts w:hint="eastAsia" w:asciiTheme="minorEastAsia" w:hAnsiTheme="minorEastAsia" w:eastAsiaTheme="minorEastAsia"/>
                <w:color w:val="auto"/>
                <w:sz w:val="21"/>
                <w:szCs w:val="21"/>
                <w:highlight w:val="none"/>
              </w:rPr>
              <w:t>具有</w:t>
            </w:r>
            <w:r>
              <w:rPr>
                <w:rFonts w:hint="eastAsia" w:asciiTheme="minorEastAsia" w:hAnsiTheme="minorEastAsia" w:eastAsiaTheme="minorEastAsia"/>
                <w:color w:val="auto"/>
                <w:sz w:val="21"/>
                <w:szCs w:val="21"/>
                <w:highlight w:val="none"/>
                <w:lang w:val="en-US" w:eastAsia="zh-CN"/>
              </w:rPr>
              <w:t>福建省消防技术服务信息平台</w:t>
            </w:r>
            <w:r>
              <w:rPr>
                <w:rFonts w:hint="eastAsia" w:asciiTheme="minorEastAsia" w:hAnsiTheme="minorEastAsia" w:eastAsiaTheme="minorEastAsia"/>
                <w:color w:val="auto"/>
                <w:sz w:val="21"/>
                <w:szCs w:val="21"/>
                <w:highlight w:val="none"/>
              </w:rPr>
              <w:t>消防维护保养检测</w:t>
            </w:r>
            <w:r>
              <w:rPr>
                <w:rFonts w:hint="eastAsia" w:asciiTheme="minorEastAsia" w:hAnsiTheme="minorEastAsia" w:eastAsiaTheme="minorEastAsia"/>
                <w:color w:val="auto"/>
                <w:sz w:val="21"/>
                <w:szCs w:val="21"/>
                <w:highlight w:val="none"/>
                <w:lang w:val="en-US" w:eastAsia="zh-CN"/>
              </w:rPr>
              <w:t>评定</w:t>
            </w:r>
            <w:r>
              <w:rPr>
                <w:rFonts w:asciiTheme="minorEastAsia" w:hAnsiTheme="minorEastAsia" w:eastAsiaTheme="minorEastAsia"/>
                <w:color w:val="auto"/>
                <w:sz w:val="21"/>
                <w:szCs w:val="21"/>
                <w:highlight w:val="none"/>
              </w:rPr>
              <w:t>四星级得</w:t>
            </w:r>
            <w:r>
              <w:rPr>
                <w:rFonts w:hint="eastAsia" w:asciiTheme="minorEastAsia" w:hAnsiTheme="minorEastAsia" w:eastAsiaTheme="minorEastAsia"/>
                <w:color w:val="auto"/>
                <w:sz w:val="21"/>
                <w:szCs w:val="21"/>
                <w:highlight w:val="none"/>
                <w:lang w:eastAsia="zh-CN"/>
              </w:rPr>
              <w:t>2</w:t>
            </w:r>
            <w:r>
              <w:rPr>
                <w:rFonts w:asciiTheme="minorEastAsia" w:hAnsiTheme="minorEastAsia" w:eastAsiaTheme="minorEastAsia"/>
                <w:color w:val="auto"/>
                <w:sz w:val="21"/>
                <w:szCs w:val="21"/>
                <w:highlight w:val="none"/>
              </w:rPr>
              <w:t>分</w:t>
            </w:r>
            <w:r>
              <w:rPr>
                <w:rFonts w:hint="eastAsia" w:asciiTheme="minorEastAsia" w:hAnsiTheme="minorEastAsia" w:eastAsiaTheme="minorEastAsia"/>
                <w:color w:val="auto"/>
                <w:sz w:val="21"/>
                <w:szCs w:val="21"/>
                <w:highlight w:val="none"/>
              </w:rPr>
              <w:t>，</w:t>
            </w:r>
            <w:r>
              <w:rPr>
                <w:rFonts w:hint="eastAsia" w:cs="宋体" w:asciiTheme="minorEastAsia" w:hAnsiTheme="minorEastAsia" w:eastAsiaTheme="minorEastAsia"/>
                <w:color w:val="auto"/>
                <w:sz w:val="21"/>
                <w:szCs w:val="21"/>
                <w:highlight w:val="none"/>
              </w:rPr>
              <w:t>满分</w:t>
            </w:r>
            <w:r>
              <w:rPr>
                <w:rFonts w:hint="eastAsia" w:cs="宋体" w:asciiTheme="minorEastAsia" w:hAnsiTheme="minorEastAsia" w:eastAsiaTheme="minorEastAsia"/>
                <w:color w:val="auto"/>
                <w:sz w:val="21"/>
                <w:szCs w:val="21"/>
                <w:highlight w:val="none"/>
                <w:lang w:eastAsia="zh-CN"/>
              </w:rPr>
              <w:t>2</w:t>
            </w:r>
            <w:r>
              <w:rPr>
                <w:rFonts w:cs="宋体" w:asciiTheme="minorEastAsia" w:hAnsiTheme="minorEastAsia" w:eastAsiaTheme="minorEastAsia"/>
                <w:color w:val="auto"/>
                <w:sz w:val="21"/>
                <w:szCs w:val="21"/>
                <w:highlight w:val="none"/>
              </w:rPr>
              <w:t>分</w:t>
            </w:r>
            <w:r>
              <w:rPr>
                <w:rFonts w:hint="eastAsia" w:asciiTheme="minorEastAsia" w:hAnsiTheme="minorEastAsia" w:eastAsiaTheme="minorEastAsia"/>
                <w:color w:val="auto"/>
                <w:sz w:val="21"/>
                <w:szCs w:val="21"/>
                <w:highlight w:val="none"/>
              </w:rPr>
              <w:t>。</w:t>
            </w:r>
          </w:p>
        </w:tc>
        <w:tc>
          <w:tcPr>
            <w:tcW w:w="924" w:type="dxa"/>
            <w:shd w:val="clear" w:color="auto" w:fill="auto"/>
            <w:vAlign w:val="center"/>
          </w:tcPr>
          <w:p w14:paraId="618F3CA8">
            <w:pPr>
              <w:widowControl/>
              <w:spacing w:line="440" w:lineRule="exact"/>
              <w:jc w:val="center"/>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2</w:t>
            </w:r>
          </w:p>
        </w:tc>
      </w:tr>
      <w:tr w14:paraId="0FF8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22A2578F">
            <w:pPr>
              <w:widowControl/>
              <w:spacing w:line="440" w:lineRule="exact"/>
              <w:jc w:val="center"/>
              <w:rPr>
                <w:rFonts w:hint="eastAsia" w:ascii="宋体" w:hAnsi="宋体" w:eastAsia="宋体"/>
                <w:color w:val="auto"/>
                <w:szCs w:val="21"/>
                <w:lang w:eastAsia="zh-CN"/>
              </w:rPr>
            </w:pPr>
            <w:r>
              <w:rPr>
                <w:rFonts w:hint="eastAsia" w:ascii="宋体" w:hAnsi="宋体"/>
                <w:color w:val="auto"/>
                <w:szCs w:val="21"/>
                <w:lang w:val="en-US" w:eastAsia="zh-CN"/>
              </w:rPr>
              <w:t>5</w:t>
            </w:r>
          </w:p>
        </w:tc>
        <w:tc>
          <w:tcPr>
            <w:tcW w:w="7190" w:type="dxa"/>
            <w:vAlign w:val="center"/>
          </w:tcPr>
          <w:p w14:paraId="4905BD06">
            <w:pPr>
              <w:widowControl/>
              <w:spacing w:line="440" w:lineRule="exact"/>
              <w:jc w:val="left"/>
              <w:rPr>
                <w:color w:val="auto"/>
              </w:rPr>
            </w:pPr>
            <w:r>
              <w:rPr>
                <w:rFonts w:ascii="宋体" w:hAnsi="宋体"/>
                <w:color w:val="auto"/>
                <w:szCs w:val="21"/>
              </w:rPr>
              <w:t>投标人具备企业信用等级证书（AAA）的得</w:t>
            </w:r>
            <w:r>
              <w:rPr>
                <w:rFonts w:hint="eastAsia" w:ascii="宋体" w:hAnsi="宋体"/>
                <w:color w:val="auto"/>
                <w:szCs w:val="21"/>
                <w:lang w:val="en-US" w:eastAsia="zh-CN"/>
              </w:rPr>
              <w:t>2</w:t>
            </w:r>
            <w:r>
              <w:rPr>
                <w:rFonts w:ascii="宋体" w:hAnsi="宋体"/>
                <w:color w:val="auto"/>
                <w:szCs w:val="21"/>
              </w:rPr>
              <w:t>分，未提供者不得分。投标人须提供复印件并加盖投标人公章，否则不得分。</w:t>
            </w:r>
          </w:p>
        </w:tc>
        <w:tc>
          <w:tcPr>
            <w:tcW w:w="924" w:type="dxa"/>
            <w:vAlign w:val="center"/>
          </w:tcPr>
          <w:p w14:paraId="7C31723B">
            <w:pPr>
              <w:widowControl/>
              <w:spacing w:line="440" w:lineRule="exact"/>
              <w:jc w:val="center"/>
              <w:rPr>
                <w:rFonts w:hint="eastAsia" w:ascii="宋体" w:hAnsi="宋体"/>
                <w:color w:val="auto"/>
                <w:szCs w:val="21"/>
              </w:rPr>
            </w:pPr>
            <w:r>
              <w:rPr>
                <w:rFonts w:hint="eastAsia" w:ascii="宋体" w:hAnsi="宋体"/>
                <w:color w:val="auto"/>
                <w:szCs w:val="21"/>
                <w:lang w:val="en-US" w:eastAsia="zh-CN"/>
              </w:rPr>
              <w:t>2</w:t>
            </w:r>
          </w:p>
        </w:tc>
      </w:tr>
      <w:tr w14:paraId="63AE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6E1D8D7B">
            <w:pPr>
              <w:widowControl/>
              <w:spacing w:line="440" w:lineRule="exact"/>
              <w:jc w:val="center"/>
              <w:rPr>
                <w:rFonts w:hint="eastAsia" w:ascii="宋体" w:hAnsi="宋体" w:eastAsia="宋体"/>
                <w:color w:val="auto"/>
                <w:szCs w:val="21"/>
                <w:lang w:val="en-US" w:eastAsia="zh-CN"/>
              </w:rPr>
            </w:pPr>
            <w:r>
              <w:rPr>
                <w:rFonts w:hint="eastAsia" w:ascii="宋体" w:hAnsi="宋体"/>
                <w:color w:val="auto"/>
                <w:szCs w:val="21"/>
                <w:lang w:val="en-US" w:eastAsia="zh-CN"/>
              </w:rPr>
              <w:t>6</w:t>
            </w:r>
          </w:p>
        </w:tc>
        <w:tc>
          <w:tcPr>
            <w:tcW w:w="7190" w:type="dxa"/>
            <w:shd w:val="clear" w:color="auto" w:fill="auto"/>
            <w:vAlign w:val="center"/>
          </w:tcPr>
          <w:p w14:paraId="4A8FA552">
            <w:pPr>
              <w:widowControl/>
              <w:spacing w:line="440" w:lineRule="exact"/>
              <w:jc w:val="left"/>
              <w:rPr>
                <w:rFonts w:hint="eastAsia" w:cs="Times New Roman" w:asciiTheme="minorEastAsia" w:hAnsiTheme="minorEastAsia" w:eastAsiaTheme="minorEastAsia"/>
                <w:color w:val="auto"/>
                <w:kern w:val="2"/>
                <w:sz w:val="21"/>
                <w:szCs w:val="21"/>
                <w:highlight w:val="none"/>
                <w:lang w:val="en-US" w:eastAsia="zh-CN" w:bidi="ar-SA"/>
              </w:rPr>
            </w:pPr>
            <w:r>
              <w:rPr>
                <w:rFonts w:hint="eastAsia" w:ascii="宋体" w:hAnsi="宋体"/>
                <w:color w:val="auto"/>
                <w:szCs w:val="21"/>
              </w:rPr>
              <w:t>提供施工应急预案（含设备故障、</w:t>
            </w:r>
            <w:r>
              <w:rPr>
                <w:rFonts w:hint="eastAsia" w:ascii="宋体" w:hAnsi="宋体"/>
                <w:color w:val="auto"/>
                <w:szCs w:val="21"/>
                <w:lang w:val="en-US" w:eastAsia="zh-CN"/>
              </w:rPr>
              <w:t>紧急停电</w:t>
            </w:r>
            <w:r>
              <w:rPr>
                <w:rFonts w:hint="eastAsia" w:ascii="宋体" w:hAnsi="宋体"/>
                <w:color w:val="auto"/>
                <w:szCs w:val="21"/>
              </w:rPr>
              <w:t>、</w:t>
            </w:r>
            <w:r>
              <w:rPr>
                <w:rFonts w:hint="eastAsia" w:ascii="宋体" w:hAnsi="宋体"/>
                <w:color w:val="auto"/>
                <w:szCs w:val="21"/>
                <w:lang w:val="en-US" w:eastAsia="zh-CN"/>
              </w:rPr>
              <w:t>漏水</w:t>
            </w:r>
            <w:r>
              <w:rPr>
                <w:rFonts w:hint="eastAsia" w:ascii="宋体" w:hAnsi="宋体"/>
                <w:color w:val="auto"/>
                <w:szCs w:val="21"/>
              </w:rPr>
              <w:t>、紧急事件处理等4项措施），</w:t>
            </w:r>
            <w:r>
              <w:rPr>
                <w:rFonts w:hint="eastAsia" w:ascii="宋体" w:hAnsi="宋体"/>
                <w:color w:val="auto"/>
                <w:szCs w:val="21"/>
                <w:lang w:val="en-US" w:eastAsia="zh-CN"/>
              </w:rPr>
              <w:t>满足4项</w:t>
            </w:r>
            <w:r>
              <w:rPr>
                <w:rFonts w:hint="eastAsia" w:ascii="宋体" w:hAnsi="宋体"/>
                <w:color w:val="auto"/>
                <w:szCs w:val="21"/>
              </w:rPr>
              <w:t>完整可行得</w:t>
            </w:r>
            <w:r>
              <w:rPr>
                <w:rFonts w:hint="eastAsia" w:ascii="宋体" w:hAnsi="宋体"/>
                <w:color w:val="auto"/>
                <w:szCs w:val="21"/>
                <w:lang w:val="en-US" w:eastAsia="zh-CN"/>
              </w:rPr>
              <w:t>3</w:t>
            </w:r>
            <w:r>
              <w:rPr>
                <w:rFonts w:hint="eastAsia" w:ascii="宋体" w:hAnsi="宋体"/>
                <w:color w:val="auto"/>
                <w:szCs w:val="21"/>
              </w:rPr>
              <w:t>分；</w:t>
            </w:r>
            <w:r>
              <w:rPr>
                <w:rFonts w:hint="eastAsia" w:ascii="宋体" w:hAnsi="宋体"/>
                <w:color w:val="auto"/>
                <w:szCs w:val="21"/>
                <w:lang w:val="en-US" w:eastAsia="zh-CN"/>
              </w:rPr>
              <w:t>满足3项</w:t>
            </w:r>
            <w:r>
              <w:rPr>
                <w:rFonts w:hint="eastAsia" w:ascii="宋体" w:hAnsi="宋体"/>
                <w:color w:val="auto"/>
                <w:szCs w:val="21"/>
              </w:rPr>
              <w:t>完整可行得</w:t>
            </w:r>
            <w:r>
              <w:rPr>
                <w:rFonts w:hint="eastAsia" w:ascii="宋体" w:hAnsi="宋体"/>
                <w:color w:val="auto"/>
                <w:szCs w:val="21"/>
                <w:lang w:val="en-US" w:eastAsia="zh-CN"/>
              </w:rPr>
              <w:t>2</w:t>
            </w:r>
            <w:r>
              <w:rPr>
                <w:rFonts w:hint="eastAsia" w:ascii="宋体" w:hAnsi="宋体"/>
                <w:color w:val="auto"/>
                <w:szCs w:val="21"/>
              </w:rPr>
              <w:t>分</w:t>
            </w:r>
            <w:r>
              <w:rPr>
                <w:rFonts w:hint="eastAsia" w:ascii="宋体" w:hAnsi="宋体"/>
                <w:color w:val="auto"/>
                <w:szCs w:val="21"/>
                <w:lang w:val="en-US" w:eastAsia="zh-CN"/>
              </w:rPr>
              <w:t>,满足1-2项</w:t>
            </w:r>
            <w:r>
              <w:rPr>
                <w:rFonts w:hint="eastAsia" w:ascii="宋体" w:hAnsi="宋体"/>
                <w:color w:val="auto"/>
                <w:szCs w:val="21"/>
              </w:rPr>
              <w:t>完整可行得</w:t>
            </w:r>
            <w:r>
              <w:rPr>
                <w:rFonts w:hint="eastAsia" w:ascii="宋体" w:hAnsi="宋体"/>
                <w:color w:val="auto"/>
                <w:szCs w:val="21"/>
                <w:lang w:val="en-US" w:eastAsia="zh-CN"/>
              </w:rPr>
              <w:t>1</w:t>
            </w:r>
            <w:r>
              <w:rPr>
                <w:rFonts w:hint="eastAsia" w:ascii="宋体" w:hAnsi="宋体"/>
                <w:color w:val="auto"/>
                <w:szCs w:val="21"/>
              </w:rPr>
              <w:t>分</w:t>
            </w:r>
            <w:r>
              <w:rPr>
                <w:rFonts w:hint="eastAsia" w:ascii="宋体" w:hAnsi="宋体"/>
                <w:color w:val="auto"/>
                <w:szCs w:val="21"/>
                <w:lang w:val="en-US" w:eastAsia="zh-CN"/>
              </w:rPr>
              <w:t>,不提供或严重偏离实际得0分</w:t>
            </w:r>
            <w:r>
              <w:rPr>
                <w:rFonts w:hint="eastAsia" w:ascii="宋体" w:hAnsi="宋体"/>
                <w:color w:val="auto"/>
                <w:szCs w:val="21"/>
              </w:rPr>
              <w:t xml:space="preserve">。 </w:t>
            </w:r>
          </w:p>
        </w:tc>
        <w:tc>
          <w:tcPr>
            <w:tcW w:w="924" w:type="dxa"/>
            <w:shd w:val="clear" w:color="auto" w:fill="auto"/>
            <w:vAlign w:val="center"/>
          </w:tcPr>
          <w:p w14:paraId="01536C61">
            <w:pPr>
              <w:widowControl/>
              <w:spacing w:line="440" w:lineRule="exact"/>
              <w:jc w:val="center"/>
              <w:rPr>
                <w:rFonts w:hint="eastAsia" w:ascii="宋体" w:hAnsi="宋体" w:eastAsia="宋体" w:cs="Times New Roman"/>
                <w:color w:val="auto"/>
                <w:kern w:val="2"/>
                <w:sz w:val="21"/>
                <w:szCs w:val="21"/>
                <w:lang w:val="en-US" w:eastAsia="zh-CN" w:bidi="ar-SA"/>
              </w:rPr>
            </w:pPr>
            <w:r>
              <w:rPr>
                <w:rFonts w:hint="eastAsia" w:ascii="宋体" w:hAnsi="宋体"/>
                <w:color w:val="auto"/>
                <w:szCs w:val="21"/>
                <w:lang w:val="en-US" w:eastAsia="zh-CN"/>
              </w:rPr>
              <w:t>3</w:t>
            </w:r>
          </w:p>
        </w:tc>
      </w:tr>
      <w:tr w14:paraId="423A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6816590E">
            <w:pPr>
              <w:widowControl/>
              <w:spacing w:line="440" w:lineRule="exact"/>
              <w:jc w:val="center"/>
              <w:rPr>
                <w:rFonts w:hint="eastAsia" w:ascii="宋体" w:hAnsi="宋体" w:eastAsia="宋体"/>
                <w:color w:val="auto"/>
                <w:szCs w:val="21"/>
                <w:lang w:eastAsia="zh-CN"/>
              </w:rPr>
            </w:pPr>
            <w:r>
              <w:rPr>
                <w:rFonts w:hint="eastAsia" w:ascii="宋体" w:hAnsi="宋体"/>
                <w:color w:val="auto"/>
                <w:szCs w:val="21"/>
                <w:lang w:val="en-US" w:eastAsia="zh-CN"/>
              </w:rPr>
              <w:t>7</w:t>
            </w:r>
          </w:p>
        </w:tc>
        <w:tc>
          <w:tcPr>
            <w:tcW w:w="7190" w:type="dxa"/>
            <w:vAlign w:val="center"/>
          </w:tcPr>
          <w:p w14:paraId="2D0F3E61">
            <w:pPr>
              <w:widowControl/>
              <w:spacing w:line="440" w:lineRule="exact"/>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根据202</w:t>
            </w:r>
            <w:r>
              <w:rPr>
                <w:rFonts w:hint="eastAsia" w:ascii="宋体" w:hAnsi="宋体" w:cs="宋体"/>
                <w:b w:val="0"/>
                <w:bCs w:val="0"/>
                <w:color w:val="auto"/>
                <w:kern w:val="0"/>
                <w:szCs w:val="21"/>
                <w:lang w:val="en-US" w:eastAsia="zh-CN"/>
              </w:rPr>
              <w:t>1</w:t>
            </w:r>
            <w:r>
              <w:rPr>
                <w:rFonts w:hint="eastAsia" w:ascii="宋体" w:hAnsi="宋体" w:cs="宋体"/>
                <w:b w:val="0"/>
                <w:bCs w:val="0"/>
                <w:color w:val="auto"/>
                <w:kern w:val="0"/>
                <w:szCs w:val="21"/>
              </w:rPr>
              <w:t>年1月1日（以合同签订时间为准）以来的【类似业绩】进行评价：</w:t>
            </w:r>
          </w:p>
          <w:p w14:paraId="013C32EA">
            <w:pPr>
              <w:widowControl/>
              <w:spacing w:line="440" w:lineRule="exact"/>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每提供1个有效业绩的得</w:t>
            </w:r>
            <w:r>
              <w:rPr>
                <w:rFonts w:hint="eastAsia" w:ascii="宋体" w:hAnsi="宋体" w:cs="宋体"/>
                <w:b w:val="0"/>
                <w:bCs w:val="0"/>
                <w:color w:val="auto"/>
                <w:kern w:val="0"/>
                <w:szCs w:val="21"/>
                <w:lang w:val="en-US" w:eastAsia="zh-CN"/>
              </w:rPr>
              <w:t>3</w:t>
            </w:r>
            <w:r>
              <w:rPr>
                <w:rFonts w:hint="eastAsia" w:ascii="宋体" w:hAnsi="宋体" w:cs="宋体"/>
                <w:b w:val="0"/>
                <w:bCs w:val="0"/>
                <w:color w:val="auto"/>
                <w:kern w:val="0"/>
                <w:szCs w:val="21"/>
              </w:rPr>
              <w:t>分，满分3分。</w:t>
            </w:r>
          </w:p>
          <w:p w14:paraId="1EF8679F">
            <w:pPr>
              <w:widowControl/>
              <w:spacing w:line="440" w:lineRule="exact"/>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注：</w:t>
            </w:r>
          </w:p>
          <w:p w14:paraId="5CBF5ACC">
            <w:pPr>
              <w:widowControl/>
              <w:spacing w:line="440" w:lineRule="exact"/>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（1）类似业绩是指：供应商</w:t>
            </w:r>
            <w:r>
              <w:rPr>
                <w:rFonts w:hint="eastAsia" w:ascii="宋体" w:hAnsi="宋体" w:cs="宋体"/>
                <w:b w:val="0"/>
                <w:bCs w:val="0"/>
                <w:color w:val="auto"/>
                <w:kern w:val="0"/>
                <w:szCs w:val="21"/>
                <w:lang w:eastAsia="zh-CN"/>
              </w:rPr>
              <w:t>的</w:t>
            </w:r>
            <w:r>
              <w:rPr>
                <w:rFonts w:hint="eastAsia" w:ascii="宋体" w:hAnsi="宋体" w:cs="宋体"/>
                <w:b w:val="0"/>
                <w:bCs w:val="0"/>
                <w:color w:val="auto"/>
                <w:kern w:val="0"/>
                <w:szCs w:val="21"/>
              </w:rPr>
              <w:t>消防改造项目相关的项目业绩。</w:t>
            </w:r>
          </w:p>
          <w:p w14:paraId="4070ECE7">
            <w:pPr>
              <w:widowControl/>
              <w:spacing w:line="440" w:lineRule="exact"/>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（2）需提供业绩的以下证明材料：</w:t>
            </w:r>
          </w:p>
          <w:p w14:paraId="68FEDE4B">
            <w:pPr>
              <w:widowControl/>
              <w:spacing w:line="440" w:lineRule="exact"/>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①中标（成交）通知书；</w:t>
            </w:r>
          </w:p>
          <w:p w14:paraId="2635FB4F">
            <w:pPr>
              <w:widowControl/>
              <w:spacing w:line="440" w:lineRule="exact"/>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②采购合同文本；</w:t>
            </w:r>
          </w:p>
          <w:p w14:paraId="6BEDA3C2">
            <w:pPr>
              <w:widowControl/>
              <w:spacing w:line="440" w:lineRule="exact"/>
              <w:jc w:val="left"/>
              <w:rPr>
                <w:rFonts w:hint="eastAsia" w:ascii="宋体" w:hAnsi="宋体" w:cs="宋体"/>
                <w:b w:val="0"/>
                <w:bCs w:val="0"/>
                <w:color w:val="auto"/>
                <w:kern w:val="0"/>
                <w:szCs w:val="21"/>
              </w:rPr>
            </w:pPr>
            <w:r>
              <w:rPr>
                <w:rFonts w:hint="eastAsia" w:ascii="宋体" w:hAnsi="宋体" w:cs="宋体"/>
                <w:b w:val="0"/>
                <w:bCs w:val="0"/>
                <w:color w:val="auto"/>
                <w:kern w:val="0"/>
                <w:szCs w:val="21"/>
              </w:rPr>
              <w:t>③能够证明该业绩项目已经采购人验收合格的相关证明材料。（验收材料须加盖业绩对应采购人或采购人使用部门印章）</w:t>
            </w:r>
          </w:p>
          <w:p w14:paraId="3C636765">
            <w:pPr>
              <w:widowControl/>
              <w:spacing w:line="440" w:lineRule="exact"/>
              <w:jc w:val="left"/>
              <w:rPr>
                <w:rFonts w:hint="default" w:eastAsia="宋体"/>
                <w:color w:val="auto"/>
                <w:lang w:val="en-US" w:eastAsia="zh-CN"/>
              </w:rPr>
            </w:pPr>
            <w:r>
              <w:rPr>
                <w:rFonts w:hint="eastAsia" w:ascii="宋体" w:hAnsi="宋体" w:cs="宋体"/>
                <w:b w:val="0"/>
                <w:bCs w:val="0"/>
                <w:color w:val="auto"/>
                <w:kern w:val="0"/>
                <w:szCs w:val="21"/>
              </w:rPr>
              <w:t>说明：如未按照以上要求提供该项目业绩完整资料的，磋商小组对该项业绩将不予采信。</w:t>
            </w:r>
          </w:p>
        </w:tc>
        <w:tc>
          <w:tcPr>
            <w:tcW w:w="924" w:type="dxa"/>
            <w:vAlign w:val="center"/>
          </w:tcPr>
          <w:p w14:paraId="4C826A74">
            <w:pPr>
              <w:widowControl/>
              <w:spacing w:line="440" w:lineRule="exact"/>
              <w:jc w:val="center"/>
              <w:rPr>
                <w:rFonts w:hint="eastAsia" w:ascii="宋体" w:hAnsi="宋体"/>
                <w:color w:val="auto"/>
                <w:szCs w:val="21"/>
              </w:rPr>
            </w:pPr>
            <w:r>
              <w:rPr>
                <w:rFonts w:hint="eastAsia" w:ascii="宋体" w:hAnsi="宋体"/>
                <w:color w:val="auto"/>
                <w:szCs w:val="21"/>
              </w:rPr>
              <w:t>3</w:t>
            </w:r>
          </w:p>
        </w:tc>
      </w:tr>
      <w:tr w14:paraId="072E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130E5055">
            <w:pPr>
              <w:widowControl/>
              <w:spacing w:line="440" w:lineRule="exact"/>
              <w:jc w:val="center"/>
              <w:rPr>
                <w:rFonts w:hint="eastAsia" w:ascii="宋体" w:hAnsi="宋体" w:eastAsia="宋体"/>
                <w:color w:val="auto"/>
                <w:szCs w:val="21"/>
                <w:lang w:eastAsia="zh-CN"/>
              </w:rPr>
            </w:pPr>
            <w:r>
              <w:rPr>
                <w:rFonts w:hint="eastAsia" w:ascii="宋体" w:hAnsi="宋体"/>
                <w:color w:val="auto"/>
                <w:szCs w:val="21"/>
                <w:lang w:val="en-US" w:eastAsia="zh-CN"/>
              </w:rPr>
              <w:t>8</w:t>
            </w:r>
          </w:p>
        </w:tc>
        <w:tc>
          <w:tcPr>
            <w:tcW w:w="7190" w:type="dxa"/>
            <w:vAlign w:val="center"/>
          </w:tcPr>
          <w:p w14:paraId="272C841A">
            <w:pPr>
              <w:widowControl/>
              <w:spacing w:line="440" w:lineRule="exact"/>
              <w:jc w:val="left"/>
              <w:rPr>
                <w:color w:val="auto"/>
              </w:rPr>
            </w:pPr>
            <w:r>
              <w:rPr>
                <w:rFonts w:hint="eastAsia" w:ascii="宋体" w:hAnsi="宋体"/>
                <w:color w:val="auto"/>
                <w:szCs w:val="21"/>
              </w:rPr>
              <w:t>投标人承诺在合同签订后严格按照采购人指定日期要求进场并顺利完成工作的得</w:t>
            </w:r>
            <w:r>
              <w:rPr>
                <w:rFonts w:hint="eastAsia" w:ascii="宋体" w:hAnsi="宋体"/>
                <w:color w:val="auto"/>
                <w:szCs w:val="21"/>
                <w:lang w:val="en-US" w:eastAsia="zh-CN"/>
              </w:rPr>
              <w:t>3</w:t>
            </w:r>
            <w:r>
              <w:rPr>
                <w:rFonts w:hint="eastAsia" w:ascii="宋体" w:hAnsi="宋体"/>
                <w:color w:val="auto"/>
                <w:szCs w:val="21"/>
              </w:rPr>
              <w:t>分，应提供承诺书（格式自拟），否则不得分。</w:t>
            </w:r>
          </w:p>
        </w:tc>
        <w:tc>
          <w:tcPr>
            <w:tcW w:w="924" w:type="dxa"/>
            <w:vAlign w:val="center"/>
          </w:tcPr>
          <w:p w14:paraId="71D4AE43">
            <w:pPr>
              <w:widowControl/>
              <w:spacing w:line="440" w:lineRule="exact"/>
              <w:jc w:val="center"/>
              <w:rPr>
                <w:rFonts w:hint="eastAsia" w:ascii="宋体" w:hAnsi="宋体" w:eastAsia="宋体"/>
                <w:color w:val="auto"/>
                <w:szCs w:val="21"/>
                <w:lang w:eastAsia="zh-CN"/>
              </w:rPr>
            </w:pPr>
            <w:r>
              <w:rPr>
                <w:rFonts w:hint="eastAsia" w:ascii="宋体" w:hAnsi="宋体"/>
                <w:color w:val="auto"/>
                <w:szCs w:val="21"/>
                <w:lang w:val="en-US" w:eastAsia="zh-CN"/>
              </w:rPr>
              <w:t>3</w:t>
            </w:r>
          </w:p>
        </w:tc>
      </w:tr>
      <w:tr w14:paraId="2D7E6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706E8A3C">
            <w:pPr>
              <w:widowControl/>
              <w:spacing w:line="440" w:lineRule="exact"/>
              <w:jc w:val="center"/>
              <w:rPr>
                <w:rFonts w:hint="default" w:ascii="宋体" w:hAnsi="宋体" w:eastAsia="宋体"/>
                <w:color w:val="auto"/>
                <w:szCs w:val="21"/>
                <w:lang w:val="en-US" w:eastAsia="zh-CN"/>
              </w:rPr>
            </w:pPr>
            <w:r>
              <w:rPr>
                <w:rFonts w:hint="eastAsia" w:ascii="宋体" w:hAnsi="宋体"/>
                <w:color w:val="auto"/>
                <w:szCs w:val="21"/>
                <w:lang w:val="en-US" w:eastAsia="zh-CN"/>
              </w:rPr>
              <w:t>9</w:t>
            </w:r>
          </w:p>
        </w:tc>
        <w:tc>
          <w:tcPr>
            <w:tcW w:w="7190" w:type="dxa"/>
            <w:vAlign w:val="center"/>
          </w:tcPr>
          <w:p w14:paraId="11478D72">
            <w:pPr>
              <w:widowControl/>
              <w:spacing w:line="440" w:lineRule="exact"/>
              <w:jc w:val="left"/>
              <w:rPr>
                <w:rFonts w:hint="eastAsia" w:ascii="宋体" w:hAnsi="宋体"/>
                <w:color w:val="auto"/>
                <w:szCs w:val="21"/>
              </w:rPr>
            </w:pPr>
            <w:r>
              <w:rPr>
                <w:rFonts w:hint="eastAsia" w:ascii="宋体" w:hAnsi="宋体"/>
                <w:color w:val="auto"/>
                <w:szCs w:val="21"/>
              </w:rPr>
              <w:t xml:space="preserve">在厦门市设有分支机构或固定服务团队，承诺快速响应（提供证明材料），满足得1分。  </w:t>
            </w:r>
          </w:p>
        </w:tc>
        <w:tc>
          <w:tcPr>
            <w:tcW w:w="924" w:type="dxa"/>
            <w:vAlign w:val="center"/>
          </w:tcPr>
          <w:p w14:paraId="2408A1BB">
            <w:pPr>
              <w:widowControl/>
              <w:spacing w:line="440" w:lineRule="exact"/>
              <w:jc w:val="center"/>
              <w:rPr>
                <w:rFonts w:hint="default" w:ascii="宋体" w:hAnsi="宋体"/>
                <w:color w:val="auto"/>
                <w:szCs w:val="21"/>
                <w:lang w:val="en-US" w:eastAsia="zh-CN"/>
              </w:rPr>
            </w:pPr>
            <w:r>
              <w:rPr>
                <w:rFonts w:hint="eastAsia" w:ascii="宋体" w:hAnsi="宋体"/>
                <w:color w:val="auto"/>
                <w:szCs w:val="21"/>
                <w:lang w:val="en-US" w:eastAsia="zh-CN"/>
              </w:rPr>
              <w:t>1</w:t>
            </w:r>
          </w:p>
        </w:tc>
      </w:tr>
      <w:tr w14:paraId="380F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53" w:type="dxa"/>
            <w:vAlign w:val="center"/>
          </w:tcPr>
          <w:p w14:paraId="5019FC60">
            <w:pPr>
              <w:widowControl/>
              <w:spacing w:line="440" w:lineRule="exact"/>
              <w:jc w:val="center"/>
              <w:rPr>
                <w:rFonts w:hint="default" w:ascii="宋体" w:hAnsi="宋体"/>
                <w:color w:val="auto"/>
                <w:szCs w:val="21"/>
                <w:lang w:val="en-US"/>
              </w:rPr>
            </w:pPr>
            <w:r>
              <w:rPr>
                <w:rFonts w:hint="eastAsia" w:ascii="宋体" w:hAnsi="宋体"/>
                <w:color w:val="auto"/>
                <w:szCs w:val="21"/>
                <w:lang w:val="en-US" w:eastAsia="zh-CN"/>
              </w:rPr>
              <w:t>10</w:t>
            </w:r>
          </w:p>
        </w:tc>
        <w:tc>
          <w:tcPr>
            <w:tcW w:w="7190" w:type="dxa"/>
            <w:vAlign w:val="center"/>
          </w:tcPr>
          <w:p w14:paraId="5F7962C6">
            <w:pPr>
              <w:widowControl/>
              <w:spacing w:line="440" w:lineRule="exact"/>
              <w:jc w:val="left"/>
              <w:rPr>
                <w:rFonts w:hint="eastAsia" w:ascii="宋体" w:hAnsi="宋体"/>
                <w:color w:val="auto"/>
                <w:szCs w:val="21"/>
              </w:rPr>
            </w:pPr>
            <w:r>
              <w:rPr>
                <w:rFonts w:hint="eastAsia" w:ascii="宋体" w:hAnsi="宋体"/>
                <w:color w:val="auto"/>
                <w:szCs w:val="21"/>
              </w:rPr>
              <w:t>提供至少2年免费维保服务承诺，并附具体响应时间（如24小时到场），满足得</w:t>
            </w:r>
            <w:r>
              <w:rPr>
                <w:rFonts w:hint="eastAsia" w:ascii="宋体" w:hAnsi="宋体"/>
                <w:color w:val="auto"/>
                <w:szCs w:val="21"/>
                <w:lang w:val="en-US" w:eastAsia="zh-CN"/>
              </w:rPr>
              <w:t>2</w:t>
            </w:r>
            <w:r>
              <w:rPr>
                <w:rFonts w:hint="eastAsia" w:ascii="宋体" w:hAnsi="宋体"/>
                <w:color w:val="auto"/>
                <w:szCs w:val="21"/>
              </w:rPr>
              <w:t>分。</w:t>
            </w:r>
          </w:p>
        </w:tc>
        <w:tc>
          <w:tcPr>
            <w:tcW w:w="924" w:type="dxa"/>
            <w:vAlign w:val="center"/>
          </w:tcPr>
          <w:p w14:paraId="7FC7EEB7">
            <w:pPr>
              <w:widowControl/>
              <w:spacing w:line="440" w:lineRule="exact"/>
              <w:jc w:val="center"/>
              <w:rPr>
                <w:rFonts w:hint="default" w:ascii="宋体" w:hAnsi="宋体"/>
                <w:color w:val="auto"/>
                <w:szCs w:val="21"/>
                <w:lang w:val="en-US" w:eastAsia="zh-CN"/>
              </w:rPr>
            </w:pPr>
            <w:r>
              <w:rPr>
                <w:rFonts w:hint="eastAsia" w:ascii="宋体" w:hAnsi="宋体"/>
                <w:color w:val="auto"/>
                <w:szCs w:val="21"/>
                <w:lang w:val="en-US" w:eastAsia="zh-CN"/>
              </w:rPr>
              <w:t>2</w:t>
            </w:r>
          </w:p>
        </w:tc>
      </w:tr>
    </w:tbl>
    <w:p w14:paraId="5EABA9B8">
      <w:pPr>
        <w:spacing w:line="360" w:lineRule="auto"/>
        <w:rPr>
          <w:rFonts w:hint="eastAsia" w:ascii="宋体" w:hAnsi="宋体"/>
        </w:rPr>
      </w:pPr>
    </w:p>
    <w:p w14:paraId="7BE27D88">
      <w:pPr>
        <w:spacing w:line="360" w:lineRule="auto"/>
        <w:jc w:val="left"/>
        <w:outlineLvl w:val="0"/>
        <w:rPr>
          <w:rFonts w:hint="eastAsia" w:ascii="宋体" w:hAnsi="宋体"/>
          <w:b/>
          <w:sz w:val="24"/>
          <w:szCs w:val="24"/>
        </w:rPr>
      </w:pPr>
      <w:r>
        <w:rPr>
          <w:rFonts w:hint="eastAsia" w:ascii="宋体" w:hAnsi="宋体"/>
          <w:b/>
          <w:sz w:val="24"/>
          <w:szCs w:val="24"/>
        </w:rPr>
        <w:t>（三）报价评分（F3）标准（满分</w:t>
      </w:r>
      <w:r>
        <w:rPr>
          <w:rFonts w:hint="eastAsia" w:ascii="宋体" w:hAnsi="宋体"/>
          <w:b/>
          <w:sz w:val="24"/>
          <w:szCs w:val="24"/>
          <w:lang w:val="en-US" w:eastAsia="zh-CN"/>
        </w:rPr>
        <w:t>20</w:t>
      </w:r>
      <w:r>
        <w:rPr>
          <w:rFonts w:hint="eastAsia" w:ascii="宋体" w:hAnsi="宋体"/>
          <w:b/>
          <w:sz w:val="24"/>
          <w:szCs w:val="24"/>
        </w:rPr>
        <w:t>分）：</w:t>
      </w:r>
    </w:p>
    <w:p w14:paraId="7B9070D2">
      <w:pPr>
        <w:pStyle w:val="11"/>
        <w:widowControl/>
        <w:spacing w:line="480" w:lineRule="auto"/>
        <w:ind w:firstLine="482" w:firstLineChars="200"/>
        <w:rPr>
          <w:rFonts w:hint="eastAsia" w:ascii="宋体" w:hAnsi="宋体"/>
        </w:rPr>
      </w:pPr>
      <w:r>
        <w:rPr>
          <w:rFonts w:hint="eastAsia" w:ascii="宋体" w:hAnsi="宋体" w:cs="宋体"/>
          <w:b/>
        </w:rPr>
        <w:t>本项目最高控制价9.9万，报价超过最高控制价为无效报价，投标文件作废。</w:t>
      </w:r>
    </w:p>
    <w:p w14:paraId="144848FB">
      <w:pPr>
        <w:spacing w:line="360" w:lineRule="auto"/>
        <w:ind w:firstLine="480" w:firstLineChars="200"/>
        <w:rPr>
          <w:rFonts w:hint="eastAsia" w:ascii="宋体" w:hAnsi="宋体"/>
          <w:sz w:val="24"/>
        </w:rPr>
      </w:pPr>
      <w:r>
        <w:rPr>
          <w:rFonts w:hint="eastAsia" w:ascii="宋体" w:hAnsi="宋体"/>
          <w:sz w:val="24"/>
        </w:rPr>
        <w:t>价格分采用低价优先法计算，即满足招标文件要求且投标价格最低的投标报价为评标基准价，其价格分为满分。其他投标人的价格分统一按照下列公式计算：</w:t>
      </w:r>
    </w:p>
    <w:p w14:paraId="3DD88D8B">
      <w:pPr>
        <w:spacing w:line="360" w:lineRule="auto"/>
        <w:ind w:firstLine="480" w:firstLineChars="200"/>
        <w:rPr>
          <w:rFonts w:hint="eastAsia" w:ascii="宋体" w:hAnsi="宋体"/>
          <w:sz w:val="24"/>
        </w:rPr>
      </w:pPr>
      <w:r>
        <w:rPr>
          <w:rFonts w:hint="eastAsia" w:ascii="宋体" w:hAnsi="宋体"/>
          <w:sz w:val="24"/>
        </w:rPr>
        <w:t>投标报价得分=(评标基准价／投标报价)×100</w:t>
      </w:r>
    </w:p>
    <w:p w14:paraId="0E5D21B3">
      <w:pPr>
        <w:spacing w:line="360" w:lineRule="auto"/>
        <w:ind w:firstLine="480" w:firstLineChars="200"/>
        <w:rPr>
          <w:rFonts w:hint="eastAsia" w:ascii="宋体" w:hAnsi="宋体"/>
          <w:sz w:val="24"/>
        </w:rPr>
      </w:pPr>
      <w:r>
        <w:rPr>
          <w:rFonts w:hint="eastAsia" w:ascii="宋体" w:hAnsi="宋体"/>
          <w:sz w:val="24"/>
        </w:rPr>
        <w:t>评标总得分＝F1×A1＋F2×A2＋……＋Fn×An</w:t>
      </w:r>
    </w:p>
    <w:p w14:paraId="684A24A3">
      <w:pPr>
        <w:spacing w:line="360" w:lineRule="auto"/>
        <w:ind w:firstLine="480" w:firstLineChars="200"/>
        <w:rPr>
          <w:rFonts w:hint="eastAsia" w:ascii="宋体" w:hAnsi="宋体"/>
          <w:sz w:val="24"/>
        </w:rPr>
      </w:pPr>
      <w:r>
        <w:rPr>
          <w:rFonts w:hint="eastAsia" w:ascii="宋体" w:hAnsi="宋体"/>
          <w:sz w:val="24"/>
        </w:rPr>
        <w:t>F1、F2……Fn分别为各项评审因素的得分；</w:t>
      </w:r>
    </w:p>
    <w:p w14:paraId="34A9B9E2">
      <w:pPr>
        <w:spacing w:line="360" w:lineRule="auto"/>
        <w:ind w:firstLine="480" w:firstLineChars="200"/>
        <w:rPr>
          <w:rFonts w:hint="eastAsia" w:ascii="宋体" w:hAnsi="宋体"/>
          <w:sz w:val="24"/>
        </w:rPr>
      </w:pPr>
      <w:r>
        <w:rPr>
          <w:rFonts w:hint="eastAsia" w:ascii="宋体" w:hAnsi="宋体"/>
          <w:sz w:val="24"/>
        </w:rPr>
        <w:t>A1、A2、……An 分别为各项评审因素所占的权重(A1＋A2＋……＋An＝1)。</w:t>
      </w:r>
    </w:p>
    <w:p w14:paraId="4F1928B0">
      <w:pPr>
        <w:spacing w:line="360" w:lineRule="auto"/>
        <w:ind w:firstLine="480" w:firstLineChars="200"/>
        <w:rPr>
          <w:rFonts w:hint="eastAsia" w:ascii="宋体" w:hAnsi="宋体"/>
          <w:sz w:val="24"/>
        </w:rPr>
      </w:pPr>
      <w:r>
        <w:rPr>
          <w:rFonts w:hint="eastAsia" w:ascii="宋体" w:hAnsi="宋体"/>
          <w:sz w:val="24"/>
        </w:rPr>
        <w:t>评标过程中，不得去掉报价中的最高报价和最低报价。</w:t>
      </w:r>
    </w:p>
    <w:sectPr>
      <w:footerReference r:id="rId4" w:type="first"/>
      <w:footerReference r:id="rId3" w:type="default"/>
      <w:pgSz w:w="11906" w:h="16838"/>
      <w:pgMar w:top="794" w:right="1418" w:bottom="964"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80EE">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BDD56C">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BDD56C">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D5F3E">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81815">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8E8181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A3F099"/>
    <w:multiLevelType w:val="singleLevel"/>
    <w:tmpl w:val="E4A3F09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FhYjUwNjQ1Y2U3MDNlODAxMmQzZWUwMTY3ZmU1NTcifQ=="/>
  </w:docVars>
  <w:rsids>
    <w:rsidRoot w:val="00F07644"/>
    <w:rsid w:val="00022E06"/>
    <w:rsid w:val="00111324"/>
    <w:rsid w:val="00117A67"/>
    <w:rsid w:val="00161655"/>
    <w:rsid w:val="001C0A6D"/>
    <w:rsid w:val="001C1043"/>
    <w:rsid w:val="001E0A5C"/>
    <w:rsid w:val="00213F71"/>
    <w:rsid w:val="00225CAB"/>
    <w:rsid w:val="0028080D"/>
    <w:rsid w:val="0031278D"/>
    <w:rsid w:val="00352280"/>
    <w:rsid w:val="00356A69"/>
    <w:rsid w:val="00395EDF"/>
    <w:rsid w:val="003A48E2"/>
    <w:rsid w:val="003F6AF8"/>
    <w:rsid w:val="00414C4D"/>
    <w:rsid w:val="004635B2"/>
    <w:rsid w:val="00465B6A"/>
    <w:rsid w:val="004754A6"/>
    <w:rsid w:val="004C70DB"/>
    <w:rsid w:val="004D02B6"/>
    <w:rsid w:val="004E2DDC"/>
    <w:rsid w:val="005105A6"/>
    <w:rsid w:val="005A5649"/>
    <w:rsid w:val="005F1996"/>
    <w:rsid w:val="006025F4"/>
    <w:rsid w:val="00627EF5"/>
    <w:rsid w:val="00686AE7"/>
    <w:rsid w:val="006D16A1"/>
    <w:rsid w:val="0071631C"/>
    <w:rsid w:val="007A6218"/>
    <w:rsid w:val="007C7693"/>
    <w:rsid w:val="007F78B0"/>
    <w:rsid w:val="008322D8"/>
    <w:rsid w:val="00845F8E"/>
    <w:rsid w:val="008B67CC"/>
    <w:rsid w:val="008F6730"/>
    <w:rsid w:val="00920C48"/>
    <w:rsid w:val="00933060"/>
    <w:rsid w:val="0094286F"/>
    <w:rsid w:val="009A45DB"/>
    <w:rsid w:val="009E60D2"/>
    <w:rsid w:val="009F27DC"/>
    <w:rsid w:val="00A23850"/>
    <w:rsid w:val="00A45B40"/>
    <w:rsid w:val="00A674D5"/>
    <w:rsid w:val="00AA4F3D"/>
    <w:rsid w:val="00B07D64"/>
    <w:rsid w:val="00B10364"/>
    <w:rsid w:val="00B93972"/>
    <w:rsid w:val="00CD049C"/>
    <w:rsid w:val="00CD2FCC"/>
    <w:rsid w:val="00DE3D8D"/>
    <w:rsid w:val="00E97A80"/>
    <w:rsid w:val="00EA0E8E"/>
    <w:rsid w:val="00EF66FF"/>
    <w:rsid w:val="00F07644"/>
    <w:rsid w:val="00F4793C"/>
    <w:rsid w:val="00F87732"/>
    <w:rsid w:val="00FC363E"/>
    <w:rsid w:val="00FE0112"/>
    <w:rsid w:val="020C62E0"/>
    <w:rsid w:val="026223A4"/>
    <w:rsid w:val="0624450F"/>
    <w:rsid w:val="078C7145"/>
    <w:rsid w:val="0F306556"/>
    <w:rsid w:val="1008458B"/>
    <w:rsid w:val="10B454FB"/>
    <w:rsid w:val="182A1DB2"/>
    <w:rsid w:val="192D4477"/>
    <w:rsid w:val="19C332D1"/>
    <w:rsid w:val="1EEE084B"/>
    <w:rsid w:val="1F8225E1"/>
    <w:rsid w:val="20E8457C"/>
    <w:rsid w:val="23360819"/>
    <w:rsid w:val="27344754"/>
    <w:rsid w:val="273F1938"/>
    <w:rsid w:val="286D0B9A"/>
    <w:rsid w:val="28C96261"/>
    <w:rsid w:val="28CD268B"/>
    <w:rsid w:val="2B7C40EF"/>
    <w:rsid w:val="30D37E45"/>
    <w:rsid w:val="31FD32BC"/>
    <w:rsid w:val="35496928"/>
    <w:rsid w:val="36B33308"/>
    <w:rsid w:val="371B121C"/>
    <w:rsid w:val="39E64B41"/>
    <w:rsid w:val="3A061C36"/>
    <w:rsid w:val="3C577B7C"/>
    <w:rsid w:val="3E263CAA"/>
    <w:rsid w:val="41670C47"/>
    <w:rsid w:val="4B4C4C8F"/>
    <w:rsid w:val="4CA30BBC"/>
    <w:rsid w:val="4CF803E4"/>
    <w:rsid w:val="502A55D6"/>
    <w:rsid w:val="502E40D8"/>
    <w:rsid w:val="54776AA0"/>
    <w:rsid w:val="59BD1846"/>
    <w:rsid w:val="5AA07E57"/>
    <w:rsid w:val="5BC61C47"/>
    <w:rsid w:val="5E417349"/>
    <w:rsid w:val="5EF455F7"/>
    <w:rsid w:val="609E0CAC"/>
    <w:rsid w:val="61693D2A"/>
    <w:rsid w:val="64653CE9"/>
    <w:rsid w:val="688418E5"/>
    <w:rsid w:val="6A8F4967"/>
    <w:rsid w:val="6C7B7C5C"/>
    <w:rsid w:val="6D902D9A"/>
    <w:rsid w:val="6F1904DE"/>
    <w:rsid w:val="6F7D08FE"/>
    <w:rsid w:val="6FC14346"/>
    <w:rsid w:val="6FDB20E8"/>
    <w:rsid w:val="70FC42EB"/>
    <w:rsid w:val="722B5027"/>
    <w:rsid w:val="729A63E3"/>
    <w:rsid w:val="74B0683E"/>
    <w:rsid w:val="75777D27"/>
    <w:rsid w:val="787A1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0"/>
      <w:szCs w:val="32"/>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5">
    <w:name w:val="Normal Indent"/>
    <w:basedOn w:val="1"/>
    <w:link w:val="25"/>
    <w:qFormat/>
    <w:uiPriority w:val="0"/>
    <w:pPr>
      <w:ind w:firstLine="420"/>
    </w:pPr>
    <w:rPr>
      <w:rFonts w:ascii="宋体" w:hAnsi="宋体"/>
    </w:rPr>
  </w:style>
  <w:style w:type="paragraph" w:styleId="6">
    <w:name w:val="Body Text"/>
    <w:basedOn w:val="1"/>
    <w:link w:val="26"/>
    <w:qFormat/>
    <w:uiPriority w:val="0"/>
    <w:pPr>
      <w:spacing w:after="120"/>
    </w:pPr>
  </w:style>
  <w:style w:type="paragraph" w:styleId="7">
    <w:name w:val="Plain Text"/>
    <w:basedOn w:val="1"/>
    <w:link w:val="22"/>
    <w:unhideWhenUsed/>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rPr>
      <w:rFonts w:ascii="Times New Roman" w:hAnsi="Times New Roman"/>
      <w:szCs w:val="24"/>
    </w:rPr>
  </w:style>
  <w:style w:type="paragraph" w:styleId="11">
    <w:name w:val="Normal (Web)"/>
    <w:basedOn w:val="1"/>
    <w:link w:val="24"/>
    <w:unhideWhenUsed/>
    <w:qFormat/>
    <w:uiPriority w:val="0"/>
    <w:rPr>
      <w:rFonts w:ascii="Times New Roman" w:hAnsi="Times New Roman"/>
      <w:sz w:val="24"/>
      <w:szCs w:val="24"/>
    </w:rPr>
  </w:style>
  <w:style w:type="paragraph" w:styleId="12">
    <w:name w:val="Body Text First Indent"/>
    <w:basedOn w:val="6"/>
    <w:link w:val="27"/>
    <w:unhideWhenUsed/>
    <w:qFormat/>
    <w:uiPriority w:val="0"/>
    <w:pPr>
      <w:ind w:firstLine="420" w:firstLineChars="100"/>
    </w:pPr>
    <w:rPr>
      <w:rFonts w:ascii="Times New Roman" w:hAnsi="Times New Roman"/>
    </w:rPr>
  </w:style>
  <w:style w:type="table" w:styleId="14">
    <w:name w:val="Table Grid"/>
    <w:basedOn w:val="13"/>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qFormat/>
    <w:uiPriority w:val="22"/>
    <w:rPr>
      <w:rFonts w:ascii="Calibri" w:hAnsi="Calibri" w:eastAsia="宋体" w:cs="Times New Roman"/>
      <w:b/>
      <w:bCs/>
    </w:rPr>
  </w:style>
  <w:style w:type="character" w:customStyle="1" w:styleId="17">
    <w:name w:val="font01"/>
    <w:basedOn w:val="15"/>
    <w:qFormat/>
    <w:uiPriority w:val="0"/>
    <w:rPr>
      <w:rFonts w:hint="eastAsia" w:ascii="宋体" w:hAnsi="宋体" w:eastAsia="宋体" w:cs="宋体"/>
      <w:b/>
      <w:bCs/>
      <w:color w:val="000000"/>
      <w:sz w:val="24"/>
      <w:szCs w:val="24"/>
      <w:u w:val="none"/>
    </w:rPr>
  </w:style>
  <w:style w:type="character" w:customStyle="1" w:styleId="18">
    <w:name w:val="font41"/>
    <w:basedOn w:val="15"/>
    <w:qFormat/>
    <w:uiPriority w:val="0"/>
    <w:rPr>
      <w:rFonts w:hint="eastAsia" w:ascii="宋体" w:hAnsi="宋体" w:eastAsia="宋体" w:cs="宋体"/>
      <w:b/>
      <w:bCs/>
      <w:color w:val="000000"/>
      <w:sz w:val="24"/>
      <w:szCs w:val="24"/>
      <w:u w:val="single"/>
    </w:rPr>
  </w:style>
  <w:style w:type="paragraph" w:customStyle="1" w:styleId="19">
    <w:name w:val="Char Char Char Char Char Char Char"/>
    <w:basedOn w:val="1"/>
    <w:qFormat/>
    <w:uiPriority w:val="0"/>
    <w:rPr>
      <w:rFonts w:ascii="Times New Roman" w:hAnsi="Times New Roman"/>
      <w:szCs w:val="24"/>
    </w:rPr>
  </w:style>
  <w:style w:type="paragraph" w:customStyle="1" w:styleId="20">
    <w:name w:val="表头文本"/>
    <w:basedOn w:val="1"/>
    <w:qFormat/>
    <w:uiPriority w:val="0"/>
    <w:pPr>
      <w:autoSpaceDE w:val="0"/>
      <w:autoSpaceDN w:val="0"/>
      <w:adjustRightInd w:val="0"/>
      <w:jc w:val="center"/>
    </w:pPr>
    <w:rPr>
      <w:rFonts w:ascii="Times New Roman" w:hAnsi="Times New Roman"/>
      <w:b/>
      <w:kern w:val="0"/>
      <w:sz w:val="24"/>
      <w:szCs w:val="20"/>
    </w:rPr>
  </w:style>
  <w:style w:type="character" w:customStyle="1" w:styleId="21">
    <w:name w:val="标题 1 字符"/>
    <w:basedOn w:val="15"/>
    <w:link w:val="3"/>
    <w:qFormat/>
    <w:uiPriority w:val="0"/>
    <w:rPr>
      <w:rFonts w:ascii="Calibri" w:hAnsi="Calibri"/>
      <w:b/>
      <w:bCs/>
      <w:kern w:val="44"/>
      <w:sz w:val="44"/>
      <w:szCs w:val="44"/>
    </w:rPr>
  </w:style>
  <w:style w:type="character" w:customStyle="1" w:styleId="22">
    <w:name w:val="纯文本 字符"/>
    <w:basedOn w:val="15"/>
    <w:link w:val="7"/>
    <w:qFormat/>
    <w:uiPriority w:val="0"/>
    <w:rPr>
      <w:rFonts w:ascii="宋体" w:hAnsi="Courier New"/>
      <w:kern w:val="2"/>
      <w:sz w:val="21"/>
    </w:rPr>
  </w:style>
  <w:style w:type="paragraph" w:styleId="23">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4">
    <w:name w:val="普通(网站) 字符"/>
    <w:basedOn w:val="15"/>
    <w:link w:val="11"/>
    <w:qFormat/>
    <w:uiPriority w:val="0"/>
    <w:rPr>
      <w:kern w:val="2"/>
      <w:sz w:val="24"/>
      <w:szCs w:val="24"/>
    </w:rPr>
  </w:style>
  <w:style w:type="character" w:customStyle="1" w:styleId="25">
    <w:name w:val="正文缩进 字符"/>
    <w:link w:val="5"/>
    <w:qFormat/>
    <w:uiPriority w:val="0"/>
    <w:rPr>
      <w:rFonts w:ascii="宋体" w:hAnsi="宋体"/>
      <w:kern w:val="2"/>
      <w:sz w:val="21"/>
      <w:szCs w:val="22"/>
    </w:rPr>
  </w:style>
  <w:style w:type="character" w:customStyle="1" w:styleId="26">
    <w:name w:val="正文文本 字符"/>
    <w:basedOn w:val="15"/>
    <w:link w:val="6"/>
    <w:qFormat/>
    <w:uiPriority w:val="0"/>
    <w:rPr>
      <w:rFonts w:ascii="Calibri" w:hAnsi="Calibri"/>
      <w:kern w:val="2"/>
      <w:sz w:val="21"/>
      <w:szCs w:val="22"/>
    </w:rPr>
  </w:style>
  <w:style w:type="character" w:customStyle="1" w:styleId="27">
    <w:name w:val="正文文本首行缩进 字符"/>
    <w:basedOn w:val="26"/>
    <w:link w:val="12"/>
    <w:qFormat/>
    <w:uiPriority w:val="0"/>
    <w:rPr>
      <w:rFonts w:ascii="Calibri" w:hAnsi="Calibri"/>
      <w:kern w:val="2"/>
      <w:sz w:val="21"/>
      <w:szCs w:val="22"/>
    </w:rPr>
  </w:style>
  <w:style w:type="character" w:customStyle="1" w:styleId="28">
    <w:name w:val="UserStyle_15"/>
    <w:link w:val="29"/>
    <w:qFormat/>
    <w:uiPriority w:val="0"/>
    <w:rPr>
      <w:rFonts w:ascii="Arial" w:hAnsi="Arial"/>
      <w:b/>
      <w:sz w:val="24"/>
      <w:szCs w:val="21"/>
    </w:rPr>
  </w:style>
  <w:style w:type="paragraph" w:customStyle="1" w:styleId="29">
    <w:name w:val="Heading2"/>
    <w:basedOn w:val="1"/>
    <w:next w:val="1"/>
    <w:link w:val="28"/>
    <w:qFormat/>
    <w:uiPriority w:val="0"/>
    <w:pPr>
      <w:keepNext/>
      <w:keepLines/>
      <w:spacing w:before="260" w:after="260"/>
      <w:jc w:val="center"/>
    </w:pPr>
    <w:rPr>
      <w:rFonts w:ascii="Arial" w:hAnsi="Arial"/>
      <w:b/>
      <w:sz w:val="24"/>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5451</Words>
  <Characters>5564</Characters>
  <Lines>29</Lines>
  <Paragraphs>8</Paragraphs>
  <TotalTime>1</TotalTime>
  <ScaleCrop>false</ScaleCrop>
  <LinksUpToDate>false</LinksUpToDate>
  <CharactersWithSpaces>5601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2023-03-14T12:52:00Z</dcterms:created>
  <dc:creator>Administrator</dc:creator>
  <cp:lastModifiedBy>svfly</cp:lastModifiedBy>
  <cp:lastPrinted>2025-04-02T02:26:00Z</cp:lastPrinted>
  <dcterms:modified xsi:type="dcterms:W3CDTF">2025-04-02T07:50:45Z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B7EF552B19C84C4D9589DF65B7EA51E1_13</vt:lpwstr>
  </property>
  <property fmtid="{D5CDD505-2E9C-101B-9397-08002B2CF9AE}" pid="4" name="KSOTemplateDocerSaveRecord">
    <vt:lpwstr>eyJoZGlkIjoiOTMzZDVlNDMyZDY5NzBiYzZiYWE5ZDY4MjkwZDY2ZTciLCJ1c2VySWQiOiIzNDc4MjE1In0=</vt:lpwstr>
  </property>
</Properties>
</file>