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8D02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default" w:ascii="方正小标宋简体" w:hAnsi="方正小标宋简体" w:eastAsia="方正小标宋简体" w:cs="方正小标宋简体"/>
          <w:b/>
          <w:i w:val="0"/>
          <w:caps w:val="0"/>
          <w:spacing w:val="0"/>
          <w:w w:val="100"/>
          <w:kern w:val="2"/>
          <w:sz w:val="44"/>
          <w:szCs w:val="44"/>
          <w:lang w:val="en-US" w:eastAsia="zh-CN" w:bidi="ar-SA"/>
        </w:rPr>
      </w:pPr>
      <w:r>
        <w:rPr>
          <w:rStyle w:val="11"/>
          <w:rFonts w:hint="eastAsia" w:ascii="方正小标宋简体" w:hAnsi="方正小标宋简体" w:eastAsia="方正小标宋简体" w:cs="方正小标宋简体"/>
          <w:b/>
          <w:i w:val="0"/>
          <w:caps w:val="0"/>
          <w:spacing w:val="0"/>
          <w:w w:val="100"/>
          <w:kern w:val="2"/>
          <w:sz w:val="44"/>
          <w:szCs w:val="44"/>
          <w:lang w:val="en-US" w:eastAsia="zh-CN" w:bidi="ar-SA"/>
        </w:rPr>
        <w:t>需求内容-护理助手软件</w:t>
      </w:r>
    </w:p>
    <w:p w14:paraId="42A32AC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ascii="方正小标宋_GBK" w:hAnsi="方正小标宋_GBK" w:eastAsia="方正小标宋_GBK"/>
          <w:b/>
          <w:i w:val="0"/>
          <w:caps w:val="0"/>
          <w:spacing w:val="0"/>
          <w:w w:val="100"/>
          <w:kern w:val="2"/>
          <w:sz w:val="44"/>
          <w:szCs w:val="44"/>
          <w:lang w:val="en-US" w:eastAsia="zh-CN" w:bidi="ar-SA"/>
        </w:rPr>
      </w:pPr>
    </w:p>
    <w:p w14:paraId="355D4EE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因我院护理人员培训及考核需要，拟对护理助手软件项目进行院内磋商招标，有关事项公告如下：</w:t>
      </w:r>
    </w:p>
    <w:p w14:paraId="1C9B8F67">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一、项目概况及要求</w:t>
      </w:r>
    </w:p>
    <w:p w14:paraId="635F766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Fonts w:hint="eastAsia" w:ascii="方正仿宋_GBK" w:hAnsi="方正仿宋_GBK" w:eastAsia="方正仿宋_GBK" w:cs="方正仿宋_GBK"/>
          <w:b w:val="0"/>
          <w:bCs w:val="0"/>
          <w:sz w:val="32"/>
          <w:szCs w:val="32"/>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中标人应按要求派出专业人员免费上门安装调试，并提供相关的技术、培训等服务，以及必要的技术资料。具体参数如下：</w:t>
      </w:r>
    </w:p>
    <w:p w14:paraId="65D550F9">
      <w:pPr>
        <w:pStyle w:val="7"/>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APP端：</w:t>
      </w:r>
    </w:p>
    <w:tbl>
      <w:tblPr>
        <w:tblStyle w:val="8"/>
        <w:tblW w:w="5000" w:type="pct"/>
        <w:tblInd w:w="0" w:type="dxa"/>
        <w:tblLayout w:type="autofit"/>
        <w:tblCellMar>
          <w:top w:w="0" w:type="dxa"/>
          <w:left w:w="108" w:type="dxa"/>
          <w:bottom w:w="0" w:type="dxa"/>
          <w:right w:w="108" w:type="dxa"/>
        </w:tblCellMar>
      </w:tblPr>
      <w:tblGrid>
        <w:gridCol w:w="770"/>
        <w:gridCol w:w="2596"/>
        <w:gridCol w:w="5060"/>
      </w:tblGrid>
      <w:tr w14:paraId="66606044">
        <w:tblPrEx>
          <w:tblCellMar>
            <w:top w:w="0" w:type="dxa"/>
            <w:left w:w="108" w:type="dxa"/>
            <w:bottom w:w="0" w:type="dxa"/>
            <w:right w:w="108" w:type="dxa"/>
          </w:tblCellMar>
        </w:tblPrEx>
        <w:trPr>
          <w:trHeight w:val="450" w:hRule="atLeast"/>
          <w:tblHeader/>
        </w:trPr>
        <w:tc>
          <w:tcPr>
            <w:tcW w:w="457" w:type="pct"/>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14:paraId="3A2A3E80">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模块</w:t>
            </w:r>
          </w:p>
        </w:tc>
        <w:tc>
          <w:tcPr>
            <w:tcW w:w="1540" w:type="pct"/>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14:paraId="15D029D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功能点</w:t>
            </w:r>
          </w:p>
        </w:tc>
        <w:tc>
          <w:tcPr>
            <w:tcW w:w="3002" w:type="pct"/>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14:paraId="1DA615D5">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说明</w:t>
            </w:r>
          </w:p>
        </w:tc>
      </w:tr>
      <w:tr w14:paraId="62770D4B">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3E70742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考试</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69EBD7E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1.考前接收通知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2.现场手机签到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3.自动加载试卷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4.考完自动出分数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5.成绩自动汇总到后台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6.在线考试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7.查看即将参加的考试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8.查看历史考试记录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9.作弊监控系统</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10.参加补考</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08DE760">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1.手机下载app即可参加考试，考试从通知到结束乃至补考都是自动化进行。</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2.考试成绩数据、监控数据完整汇总统计到护理后台。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3.传统PC端、纸质无法达到的自动化、移动化。</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4.节约采购PC电脑成本、纸质统计效率。真正的信息化。</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5.可用于护理部、科室、病区等所有院内考试业务。</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6.在线考试，无需现场签到，大考前的线上模拟测试。提升大考效率，减轻护士压力。</w:t>
            </w:r>
          </w:p>
        </w:tc>
      </w:tr>
      <w:tr w14:paraId="1591CE10">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6D70F42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培训</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AF9C3CE">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1.培训前接收通知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2.现场手机签到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3.培训课件阅读</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4.课堂评测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5.课后评价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6.查看即将参加的培训</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7.查看历史培训记录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8.报名参加培训</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DB281F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1.参加培训从通知到结束，全程自动化进行。</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2.护士可查看培训中老师上传的文档课件，课后可加强学习。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3.护士可参与老师课后上传的评测题目，保证培训真实有效听讲。</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4.护士可参与老师上传的问卷，对本次培训提出建议。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5.护士参加培训的签到数据，自动汇总到护理后台。</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6.护士根据自己的临床工作时间来报名参加培训。</w:t>
            </w:r>
          </w:p>
        </w:tc>
      </w:tr>
      <w:tr w14:paraId="38D98BE7">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B2D60F0">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实操考核</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0DD51979">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1.考核前接收通知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2.现场手机打分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3.查看历史考核记录</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67DA207D">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1.参加培训从通知到结束，全程自动化进行。</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2.考官可以手机端完成打分。</w:t>
            </w:r>
          </w:p>
          <w:p w14:paraId="5B66F2D2">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3.打分数据自动汇总到护理后台。</w:t>
            </w:r>
          </w:p>
        </w:tc>
      </w:tr>
      <w:tr w14:paraId="30C5C276">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50D81F9">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练习题</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23B2089">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1.查看与自己能级对应的练习主题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2.每组10道题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3.练习得积分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4.选择题、判断题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5.系统自带数十万护理题目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6.支持院方批量导入题目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7.练习过程答案展示</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71B8F336">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1.护士碎片化时间打开手机进行练习。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2.解决护士考前复习压力，纸质书籍不便于携带，考试合格率更高。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3.智能化算法出题，优先练习没有练习过的题目，其次是练习答错的题目，可能会答错的题目。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4.系统自带数十万道，500多家三级、二级、综合、专科等医院的护理题目，覆盖面广。</w:t>
            </w:r>
          </w:p>
        </w:tc>
      </w:tr>
      <w:tr w14:paraId="485813D1">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3A34A52D">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视频学习</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034611FB">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1.查看与自己相关的视频课件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2.视频观看进度记录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3.观看过程跳出题目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4.课后评测</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8FA006F">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1.实习护士、新护士、轮转护士更方便的学习实操、理论相关的视频课件。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2.观看过程跳出问答，不回答无法继续观看，防止护士自动播放不观看。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3.课后测试，保证视频学习质量。</w:t>
            </w:r>
          </w:p>
        </w:tc>
      </w:tr>
      <w:tr w14:paraId="263ABEC2">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60A276C">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学分管理</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24CD27F">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1.查看学分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2.查看学分来源明细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3.提示还差多少学分</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4.获取学分方式</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B95540E">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1.方便的让护士知道自己的学分情况。</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2.学分与教学计划的结合，更加人性化的让护士了解到还有哪些培训可以获取学分，护士根据自身情况安排参与，避免年底学分未满足。</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3.避免护理部统计学分不准确。</w:t>
            </w:r>
          </w:p>
        </w:tc>
      </w:tr>
      <w:tr w14:paraId="53F54A6F">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784884F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医院栏目</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094E3565">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1.阅读院内发布的文章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2.系统自带护理文章</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00863B3">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1.护士随时查看、阅读院内发出的文章</w:t>
            </w:r>
          </w:p>
        </w:tc>
      </w:tr>
      <w:tr w14:paraId="754ED1FA">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38390A4E">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学习计划</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7E016B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1.手机端查看学习计划</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2.查看与自己相关的学习计划</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12CC792">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1.方便护士了解还有哪些培训需要参加，根据自己的时间提前安排好事项。</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2.管理者后台编辑好教学计划，护手手机端app可以查看。</w:t>
            </w:r>
          </w:p>
        </w:tc>
      </w:tr>
      <w:tr w14:paraId="1B996399">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3100399">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院内通知</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BAE61E7">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1.App端查通知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2.查看通知中的附件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3.查看后显示已阅读</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4.未点击显示未查看</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970405C">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1.保证点对点通知到个人</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2.内容可添加附件，更完整表达通知内容</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3.护士没有点击查看，后台可以统计。</w:t>
            </w:r>
          </w:p>
        </w:tc>
      </w:tr>
      <w:tr w14:paraId="3FC8D938">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7BEA2592">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质量检查</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7AF98C26">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 手机端实时上报</w:t>
            </w:r>
          </w:p>
          <w:p w14:paraId="5DC5819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2.手机端查看整改方案通知</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6950600">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1.手机查看打分报表；</w:t>
            </w:r>
          </w:p>
          <w:p w14:paraId="45E6AAB9">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2.手机端打分；</w:t>
            </w:r>
          </w:p>
          <w:p w14:paraId="1C08D2CE">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3.打分数据实时上传。</w:t>
            </w:r>
          </w:p>
        </w:tc>
      </w:tr>
      <w:tr w14:paraId="5B7DEDC2">
        <w:tblPrEx>
          <w:tblCellMar>
            <w:top w:w="0" w:type="dxa"/>
            <w:left w:w="108" w:type="dxa"/>
            <w:bottom w:w="0" w:type="dxa"/>
            <w:right w:w="108" w:type="dxa"/>
          </w:tblCellMar>
        </w:tblPrEx>
        <w:trPr>
          <w:trHeight w:val="450" w:hRule="atLeast"/>
        </w:trPr>
        <w:tc>
          <w:tcPr>
            <w:tcW w:w="457"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7725EE4">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不良事件上报</w:t>
            </w:r>
          </w:p>
        </w:tc>
        <w:tc>
          <w:tcPr>
            <w:tcW w:w="1540"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709CC18B">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1.手机端实时上报</w:t>
            </w:r>
          </w:p>
          <w:p w14:paraId="5633C700">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2.实时提醒</w:t>
            </w:r>
          </w:p>
        </w:tc>
        <w:tc>
          <w:tcPr>
            <w:tcW w:w="3002" w:type="pct"/>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2665FE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1.手机查填写上报报表；</w:t>
            </w:r>
          </w:p>
          <w:p w14:paraId="2136B4C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2.不良事件数据实时上传。</w:t>
            </w:r>
          </w:p>
        </w:tc>
      </w:tr>
    </w:tbl>
    <w:p w14:paraId="191452EC">
      <w:pPr>
        <w:pStyle w:val="3"/>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p>
    <w:p w14:paraId="0445BADB">
      <w:pPr>
        <w:pStyle w:val="3"/>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微信端（公众号）：</w:t>
      </w:r>
    </w:p>
    <w:tbl>
      <w:tblPr>
        <w:tblStyle w:val="8"/>
        <w:tblW w:w="5000" w:type="pct"/>
        <w:tblInd w:w="0" w:type="dxa"/>
        <w:tblLayout w:type="autofit"/>
        <w:tblCellMar>
          <w:top w:w="0" w:type="dxa"/>
          <w:left w:w="108" w:type="dxa"/>
          <w:bottom w:w="0" w:type="dxa"/>
          <w:right w:w="108" w:type="dxa"/>
        </w:tblCellMar>
      </w:tblPr>
      <w:tblGrid>
        <w:gridCol w:w="709"/>
        <w:gridCol w:w="2085"/>
        <w:gridCol w:w="5632"/>
      </w:tblGrid>
      <w:tr w14:paraId="48D65FE8">
        <w:tblPrEx>
          <w:tblCellMar>
            <w:top w:w="0" w:type="dxa"/>
            <w:left w:w="108" w:type="dxa"/>
            <w:bottom w:w="0" w:type="dxa"/>
            <w:right w:w="108" w:type="dxa"/>
          </w:tblCellMar>
        </w:tblPrEx>
        <w:trPr>
          <w:trHeight w:val="450" w:hRule="atLeast"/>
          <w:tblHeader/>
        </w:trPr>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14:paraId="2B49C18F">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模块</w:t>
            </w:r>
          </w:p>
        </w:tc>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14:paraId="0C999CEF">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功能点</w:t>
            </w:r>
          </w:p>
        </w:tc>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14:paraId="75911A7F">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说明</w:t>
            </w:r>
          </w:p>
        </w:tc>
      </w:tr>
      <w:tr w14:paraId="53CF5C32">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534C80D">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个人信息</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36EECE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1.能级、职称、职务等信息标准化选择</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1638DC2">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1.随时修改自己的信息，由上级进行审核才可修改通过。</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2.重要信息跳过护士长（病区管理员），由护理部审核。</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3.便于后期各种活动通知绑定人员时，可一键筛选绑定。</w:t>
            </w:r>
          </w:p>
        </w:tc>
      </w:tr>
      <w:tr w14:paraId="010D9A73">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D95663C">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人员加入</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87AD4AB">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1.扫码加入医院及病区</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2.层层审核机制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3.微信端加入方便快捷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4.封闭式管理人员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5.管理员微信端管理人员</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76011F7">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1.封闭式人员加入系统，每个医院单独二维码。</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2.病区护士长、护理部最高管理员层层审核，全程自动化，确保外院人员不可进入。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3.微信端随时管理护士信息，删除、修改等。</w:t>
            </w:r>
          </w:p>
        </w:tc>
      </w:tr>
      <w:tr w14:paraId="1A645BDE">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17DE952">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软件指导</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3A2D2232">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1.护士微信端查看软件指导</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2.管理员微信端查看软件指导</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5087B4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1.微信端附有软件操作，避免护士出现操作问题无人解答。</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2.管理员也有软件操作指导，包括了管理员对电脑端后台使用的操作指导。</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3.真正的全方位无障碍使用软件。</w:t>
            </w:r>
          </w:p>
        </w:tc>
      </w:tr>
      <w:tr w14:paraId="1E6BD876">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29B6727">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院内通知</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9BCEEFE">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1.微信端接收通知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2.详情进入app端查看</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B2D78D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1.通过公众号发送院内通知：培训、考试、练习等。</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2.详细内容提示护士到app查看，公众号不显示具体内容，以免护士到app端查看，确认获取护士是否查看通知监控数据。</w:t>
            </w:r>
          </w:p>
        </w:tc>
      </w:tr>
    </w:tbl>
    <w:p w14:paraId="3DE5713D">
      <w:pPr>
        <w:pStyle w:val="3"/>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p>
    <w:p w14:paraId="7BFD2CAA">
      <w:pPr>
        <w:pStyle w:val="3"/>
        <w:keepNext w:val="0"/>
        <w:keepLines w:val="0"/>
        <w:pageBreakBefore w:val="0"/>
        <w:widowControl/>
        <w:kinsoku/>
        <w:wordWrap/>
        <w:overflowPunct/>
        <w:topLinePunct w:val="0"/>
        <w:autoSpaceDE/>
        <w:autoSpaceDN/>
        <w:bidi w:val="0"/>
        <w:adjustRightInd/>
        <w:snapToGrid/>
        <w:spacing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电脑端后台（管理员）：</w:t>
      </w:r>
    </w:p>
    <w:tbl>
      <w:tblPr>
        <w:tblStyle w:val="8"/>
        <w:tblW w:w="5000" w:type="pct"/>
        <w:tblInd w:w="0" w:type="dxa"/>
        <w:tblLayout w:type="autofit"/>
        <w:tblCellMar>
          <w:top w:w="0" w:type="dxa"/>
          <w:left w:w="108" w:type="dxa"/>
          <w:bottom w:w="0" w:type="dxa"/>
          <w:right w:w="108" w:type="dxa"/>
        </w:tblCellMar>
      </w:tblPr>
      <w:tblGrid>
        <w:gridCol w:w="842"/>
        <w:gridCol w:w="3023"/>
        <w:gridCol w:w="4561"/>
      </w:tblGrid>
      <w:tr w14:paraId="643AD037">
        <w:tblPrEx>
          <w:tblCellMar>
            <w:top w:w="0" w:type="dxa"/>
            <w:left w:w="108" w:type="dxa"/>
            <w:bottom w:w="0" w:type="dxa"/>
            <w:right w:w="108" w:type="dxa"/>
          </w:tblCellMar>
        </w:tblPrEx>
        <w:trPr>
          <w:trHeight w:val="450" w:hRule="atLeast"/>
          <w:tblHeader/>
        </w:trPr>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14:paraId="0B62F1C9">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模块</w:t>
            </w:r>
          </w:p>
        </w:tc>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14:paraId="0E91AAD6">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功能点</w:t>
            </w:r>
          </w:p>
        </w:tc>
        <w:tc>
          <w:tcPr>
            <w:tcW w:w="0" w:type="auto"/>
            <w:tcBorders>
              <w:top w:val="single" w:color="CCCCCC" w:sz="6" w:space="0"/>
              <w:left w:val="single" w:color="CCCCCC" w:sz="6" w:space="0"/>
              <w:bottom w:val="single" w:color="CCCCCC" w:sz="6" w:space="0"/>
              <w:right w:val="single" w:color="CCCCCC" w:sz="6" w:space="0"/>
            </w:tcBorders>
            <w:shd w:val="clear" w:color="auto" w:fill="F9F9F9"/>
            <w:tcMar>
              <w:top w:w="30" w:type="dxa"/>
              <w:left w:w="60" w:type="dxa"/>
              <w:bottom w:w="30" w:type="dxa"/>
              <w:right w:w="60" w:type="dxa"/>
            </w:tcMar>
          </w:tcPr>
          <w:p w14:paraId="31C76A03">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说明</w:t>
            </w:r>
          </w:p>
        </w:tc>
      </w:tr>
      <w:tr w14:paraId="50BFCCFC">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9AED9BC">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人员管理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1C0F5FE">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1.添加导入人员信息</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2.搜索人员、按病区列表查看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3.查看单个人员教学总数据</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6F0A3B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1.除了手机端快速添加人员外，电脑端也提供了入口，方便管理员在不同场合下使用。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2.电脑端展示护士的数据更为详细，方便管理员查看。</w:t>
            </w:r>
          </w:p>
        </w:tc>
      </w:tr>
      <w:tr w14:paraId="76F3DD20">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A9710D8">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练习题</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033D29AD">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1.创建练习题主题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2.查看练习题主题列表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3.查看某一个练习题数据表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4.查看某一个练习题主题试题统计</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5.Excel形式导出数据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6.生成手机报表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7.查看某一个护士的练习题情况</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3AF172B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1.自动化、标准化创建练习题让护士学习，可以用系统自带的数十万道题目中抽取。</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2.一键绑定需要学习的护士，按病区、能级等条件筛选，快速便捷。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3.发现练习较多、错误较多、某一类护士学习热情度等各维度统计护士练习数据。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4.Excel形式导出数据方式，支持管理员随意提取数据制作数据表。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5.为教学科研提供科学的数据支持。</w:t>
            </w:r>
          </w:p>
        </w:tc>
      </w:tr>
      <w:tr w14:paraId="2EFB5668">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823107D">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培训</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7C44B8CC">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1.快速创建培训</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2.查看培训数据：签到、答题等数据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3.Excel形式导出数据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4.生成手机报表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5.支持在线培训创建</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6.设置是否报名</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7.上传培训课件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8.绑定学分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2957583">
            <w:pPr>
              <w:keepNext w:val="0"/>
              <w:keepLines w:val="0"/>
              <w:pageBreakBefore w:val="0"/>
              <w:widowControl/>
              <w:kinsoku/>
              <w:wordWrap/>
              <w:overflowPunct/>
              <w:topLinePunct w:val="0"/>
              <w:autoSpaceDE/>
              <w:autoSpaceDN/>
              <w:bidi w:val="0"/>
              <w:adjustRightInd/>
              <w:snapToGrid/>
              <w:spacing w:before="225" w:after="240"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1.自动化、标准化创建培训。</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2.一键绑定需要参加培训的护士，按病区、能级等条件筛选，快速便捷。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3.各种培训相关数据随时查看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4.根据护士签到、是否答题等情况设置相关学分，自动化分配。</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5.提前建立培训，设定通知时间。节省管理者工作，护士也可以查看需要未来和自己相关的培训计划表。</w:t>
            </w:r>
          </w:p>
        </w:tc>
      </w:tr>
      <w:tr w14:paraId="1F93E5A4">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FFAED96">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考试</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F56EEE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1.快速创建考试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2.查看考试数据：签到、答题等数据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3.Excel形式导出数据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4.生成手机报表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5.支持在线考试创建</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6.设置是否报名</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7.绑定学分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6D724B4">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1.自动化、标准化创建考试。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2.一键绑定需要参加考试的护士，按病区、能级等条件筛选，快速便捷。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3.各种考试相关数据随时查看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4.根据护士签到、是否答题等情况设置相关学分，自动化分配。</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5.提前建立考试，设定通知时间。节省管理者工作，护士也可以查看需要未来和自己相关的考试计划表。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6.护士手机端作弊监控数据：切屏、截屏行为统计</w:t>
            </w:r>
          </w:p>
        </w:tc>
      </w:tr>
      <w:tr w14:paraId="5478D916">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6A69DA5B">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实操考核</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32BDAA6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1.快速创建实操考核</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2.查看数据：签到、打分等数据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3.Excel形式导出数据</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4.生成手机报表</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6A6E3836">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1.自动化、标准化创建实操考核。</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2.一键绑定需要参加考核的护士，按病区、能级等条件筛选，快速便捷。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3.各种考试相关数据随时查看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4.根据护士考核数据生成报表。</w:t>
            </w:r>
          </w:p>
        </w:tc>
      </w:tr>
      <w:tr w14:paraId="58499811">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32AA9D64">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视频学习</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296062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1.快速创建视频学习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2.查看护士视频学习数据：观看进度，次数、重复次数、答题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3.视频任意时段插入问答，确保护士观看中答题。</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4.上传管理院内教学视频入库</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5.系统自带护理几十个专业操作视频</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FAB6473">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1.自动化、标准化创建视频学习。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2.一键绑定需要学习的的护士，按病区、能级等条件筛选，快速便捷。</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3.各种视频相关数据随时查看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4.视频中穿插问答，不答题不可以继续观看，保证有效学习。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5.移动端视频学习方式，更容易让护士掌握，提高教学效果。</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6.针对新护士、实习护士、轮转护士视频化意义更大。</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7.系统不定期更新专业视频。</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8.院内自建视频库，随时调用。</w:t>
            </w:r>
          </w:p>
        </w:tc>
      </w:tr>
      <w:tr w14:paraId="0DCD866E">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4D1607E">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通知管理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7BE6F326">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1.承载系统更重教学方式通知。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2.查看护士是否点击阅读。</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3.定时推送通知。</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4.通知中添加附件</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5.快速绑定需要接收通知的人群。</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DA94D14">
            <w:pPr>
              <w:keepNext w:val="0"/>
              <w:keepLines w:val="0"/>
              <w:pageBreakBefore w:val="0"/>
              <w:widowControl/>
              <w:kinsoku/>
              <w:wordWrap/>
              <w:overflowPunct/>
              <w:topLinePunct w:val="0"/>
              <w:autoSpaceDE/>
              <w:autoSpaceDN/>
              <w:bidi w:val="0"/>
              <w:adjustRightInd/>
              <w:snapToGrid/>
              <w:spacing w:before="225" w:after="240"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1.通知传送到微信端，保证消息精准传达。</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2.按能级、科室等条件筛选出需要通知的人群，方便、自动。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3.实时查看护士是否点击阅读。</w:t>
            </w:r>
          </w:p>
        </w:tc>
      </w:tr>
      <w:tr w14:paraId="578526C0">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04310A60">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医院栏目</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C751A43">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1.创建文章</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2.查看阅读情况</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0A435037">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1.创建属于本院的医院栏目，添加图文类文章，类似微信公众号的方式。</w:t>
            </w:r>
          </w:p>
        </w:tc>
      </w:tr>
      <w:tr w14:paraId="40FE3A46">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5BAF0C0">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教学计划</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65950D2E">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1.创建全年教学计划表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2.自动化提醒相关护士</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D7E06FF">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1.提前做好教学计划表，方便护士手机端查看。</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2.提前通知相关护士参与。</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3.多位老师可共同编辑计划表，方便护理部二次编辑，修改更便捷。</w:t>
            </w:r>
          </w:p>
        </w:tc>
      </w:tr>
      <w:tr w14:paraId="3EBECA12">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39A570EB">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人员管理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CA1A386">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1.生成医院专属二维码</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2.批量导入人员名单</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3.修改护士信息</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4.统计全院护士数据：病区、能级、学历、职务、职称等</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5.添加护士信息</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660ABB90">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1.生成医院专属二维码，让护士扫码加入，科学的审核机制，避免外人加入系统。</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2.重要信息可由护理部审核，保证护士信息正确性，避免护士乱改信息。</w:t>
            </w:r>
          </w:p>
        </w:tc>
      </w:tr>
      <w:tr w14:paraId="513F353E">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5B0403B">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安全管理</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764C3E2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1.阿里云存储</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2.腾讯云推送</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3.异地账号登录监控</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4.去账号微信端扫码登录方式</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D9CB9A5">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1.服务全球的阿里云存储，经得起大数据的考验。</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2.为微信提供的腾讯云服务，保证了信息的实时有效传达。</w:t>
            </w:r>
            <w:r>
              <w:rPr>
                <w:rFonts w:hint="eastAsia" w:ascii="方正仿宋_GBK" w:hAnsi="方正仿宋_GBK" w:eastAsia="方正仿宋_GBK" w:cs="方正仿宋_GBK"/>
                <w:b w:val="0"/>
                <w:bCs w:val="0"/>
                <w:sz w:val="32"/>
                <w:szCs w:val="32"/>
              </w:rPr>
              <w:br w:type="textWrapping"/>
            </w:r>
            <w:r>
              <w:rPr>
                <w:rFonts w:hint="eastAsia" w:ascii="方正仿宋_GBK" w:hAnsi="方正仿宋_GBK" w:eastAsia="方正仿宋_GBK" w:cs="方正仿宋_GBK"/>
                <w:b w:val="0"/>
                <w:bCs w:val="0"/>
                <w:sz w:val="32"/>
                <w:szCs w:val="32"/>
              </w:rPr>
              <w:t>3.微信端一键登录，自动识别管理者身份。</w:t>
            </w:r>
          </w:p>
        </w:tc>
      </w:tr>
      <w:tr w14:paraId="023A2E20">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151E3FF">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质量检查</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50391D13">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1.数据自动汇总；</w:t>
            </w:r>
          </w:p>
          <w:p w14:paraId="72CCDA4A">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2.图标分析</w:t>
            </w:r>
          </w:p>
          <w:p w14:paraId="0ACD5DBD">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3.整改方案追踪</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2E12774">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1.手机端上传的打分自动汇总；</w:t>
            </w:r>
          </w:p>
          <w:p w14:paraId="4DFECC3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2.能生成分析</w:t>
            </w:r>
            <w:r>
              <w:rPr>
                <w:rFonts w:hint="eastAsia" w:ascii="方正仿宋_GBK" w:hAnsi="方正仿宋_GBK" w:eastAsia="方正仿宋_GBK" w:cs="方正仿宋_GBK"/>
                <w:b w:val="0"/>
                <w:bCs w:val="0"/>
                <w:sz w:val="32"/>
                <w:szCs w:val="32"/>
                <w:lang w:eastAsia="zh-CN"/>
              </w:rPr>
              <w:t>图</w:t>
            </w:r>
            <w:r>
              <w:rPr>
                <w:rFonts w:hint="eastAsia" w:ascii="方正仿宋_GBK" w:hAnsi="方正仿宋_GBK" w:eastAsia="方正仿宋_GBK" w:cs="方正仿宋_GBK"/>
                <w:b w:val="0"/>
                <w:bCs w:val="0"/>
                <w:sz w:val="32"/>
                <w:szCs w:val="32"/>
              </w:rPr>
              <w:t>表；</w:t>
            </w:r>
          </w:p>
          <w:p w14:paraId="4EB5E8D0">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3.可查看整改方案的下发和反馈</w:t>
            </w:r>
          </w:p>
        </w:tc>
      </w:tr>
      <w:tr w14:paraId="0DC91C68">
        <w:tblPrEx>
          <w:tblCellMar>
            <w:top w:w="0" w:type="dxa"/>
            <w:left w:w="108" w:type="dxa"/>
            <w:bottom w:w="0" w:type="dxa"/>
            <w:right w:w="108" w:type="dxa"/>
          </w:tblCellMar>
        </w:tblPrEx>
        <w:trPr>
          <w:trHeight w:val="450" w:hRule="atLeast"/>
        </w:trPr>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1E565BEC">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不良事件上报</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2AE774A1">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1.数据自动汇总；</w:t>
            </w:r>
          </w:p>
          <w:p w14:paraId="43810D88">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2.图标分析</w:t>
            </w:r>
          </w:p>
        </w:tc>
        <w:tc>
          <w:tcPr>
            <w:tcW w:w="0" w:type="auto"/>
            <w:tcBorders>
              <w:top w:val="single" w:color="CCCCCC" w:sz="6" w:space="0"/>
              <w:left w:val="single" w:color="CCCCCC" w:sz="6" w:space="0"/>
              <w:bottom w:val="single" w:color="CCCCCC" w:sz="6" w:space="0"/>
              <w:right w:val="single" w:color="CCCCCC" w:sz="6" w:space="0"/>
            </w:tcBorders>
            <w:tcMar>
              <w:top w:w="30" w:type="dxa"/>
              <w:left w:w="60" w:type="dxa"/>
              <w:bottom w:w="30" w:type="dxa"/>
              <w:right w:w="60" w:type="dxa"/>
            </w:tcMar>
          </w:tcPr>
          <w:p w14:paraId="42FA3D22">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1.手机端上传的不良事件自动汇总；</w:t>
            </w:r>
          </w:p>
          <w:p w14:paraId="5D35B949">
            <w:pPr>
              <w:keepNext w:val="0"/>
              <w:keepLines w:val="0"/>
              <w:pageBreakBefore w:val="0"/>
              <w:widowControl/>
              <w:kinsoku/>
              <w:wordWrap/>
              <w:overflowPunct/>
              <w:topLinePunct w:val="0"/>
              <w:autoSpaceDE/>
              <w:autoSpaceDN/>
              <w:bidi w:val="0"/>
              <w:adjustRightInd/>
              <w:snapToGrid/>
              <w:spacing w:before="225" w:after="225" w:line="360" w:lineRule="auto"/>
              <w:textAlignment w:val="baseline"/>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2.能生成分析</w:t>
            </w:r>
            <w:r>
              <w:rPr>
                <w:rFonts w:hint="eastAsia" w:ascii="方正仿宋_GBK" w:hAnsi="方正仿宋_GBK" w:eastAsia="方正仿宋_GBK" w:cs="方正仿宋_GBK"/>
                <w:b w:val="0"/>
                <w:bCs w:val="0"/>
                <w:sz w:val="32"/>
                <w:szCs w:val="32"/>
                <w:lang w:eastAsia="zh-CN"/>
              </w:rPr>
              <w:t>图</w:t>
            </w:r>
            <w:r>
              <w:rPr>
                <w:rFonts w:hint="eastAsia" w:ascii="方正仿宋_GBK" w:hAnsi="方正仿宋_GBK" w:eastAsia="方正仿宋_GBK" w:cs="方正仿宋_GBK"/>
                <w:b w:val="0"/>
                <w:bCs w:val="0"/>
                <w:sz w:val="32"/>
                <w:szCs w:val="32"/>
              </w:rPr>
              <w:t>表；</w:t>
            </w:r>
          </w:p>
        </w:tc>
      </w:tr>
    </w:tbl>
    <w:p w14:paraId="645EB9E7">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14:paraId="3A00BA49">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二、招标形式</w:t>
      </w:r>
    </w:p>
    <w:p w14:paraId="10B41E6E">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15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 xml:space="preserve">竞争性磋商 </w:t>
      </w:r>
    </w:p>
    <w:p w14:paraId="37FA29C4">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14:paraId="2CEBCB9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三、资质要求</w:t>
      </w:r>
    </w:p>
    <w:p w14:paraId="6F010CD7">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在国内进行工商注册具有相关经营范围，取得相关资质的法人企业，方可报名参加。报名时需提供以下资质证明材料：</w:t>
      </w:r>
    </w:p>
    <w:p w14:paraId="0E6400E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1、法人代表授权委托书原件（需有法人签名或盖法人章）；</w:t>
      </w:r>
    </w:p>
    <w:p w14:paraId="667F398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2、法人、</w:t>
      </w: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授权委托人身份证复印件；</w:t>
      </w:r>
    </w:p>
    <w:p w14:paraId="22E9956F">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319" w:leftChars="152" w:firstLine="320" w:firstLineChars="1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3、经有效年检工商营业执照副本复印件（若提供统一社会信用代码营业执照副本复印件的，则无需提供有效税务登记副本复印件和组织机构代码证复印件）；</w:t>
      </w:r>
    </w:p>
    <w:p w14:paraId="1AEB91D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4、税务登记证副本复印件；</w:t>
      </w:r>
    </w:p>
    <w:p w14:paraId="7BAF1B26">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5、经有效年检组织机构代码证副本复印件；</w:t>
      </w:r>
    </w:p>
    <w:p w14:paraId="5B02E546">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6、在经营活动中没有重大违法记录和重大安全责任事故的书面声明；</w:t>
      </w:r>
    </w:p>
    <w:p w14:paraId="77945016">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7、无行贿犯罪记录的书面声明；</w:t>
      </w:r>
    </w:p>
    <w:p w14:paraId="4B0560FA">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以上资质证明材料报名时须提供复印件并加盖单位公章。</w:t>
      </w:r>
    </w:p>
    <w:p w14:paraId="06A9CCFB">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14:paraId="68E556CB">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四、评分标准</w:t>
      </w:r>
    </w:p>
    <w:p w14:paraId="185E5919">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此次招标采用综合评分法，评分标准如下：</w:t>
      </w:r>
    </w:p>
    <w:tbl>
      <w:tblPr>
        <w:tblStyle w:val="8"/>
        <w:tblW w:w="9282" w:type="dxa"/>
        <w:tblInd w:w="-5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5"/>
        <w:gridCol w:w="7697"/>
      </w:tblGrid>
      <w:tr w14:paraId="4D3F7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585" w:type="dxa"/>
            <w:tcBorders>
              <w:top w:val="single" w:color="000000" w:sz="4" w:space="0"/>
              <w:left w:val="single" w:color="000000" w:sz="4" w:space="0"/>
              <w:bottom w:val="single" w:color="000000" w:sz="4" w:space="0"/>
              <w:right w:val="single" w:color="000000" w:sz="4" w:space="0"/>
            </w:tcBorders>
            <w:vAlign w:val="center"/>
          </w:tcPr>
          <w:p w14:paraId="059E638B">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价格分(20分)</w:t>
            </w:r>
          </w:p>
        </w:tc>
        <w:tc>
          <w:tcPr>
            <w:tcW w:w="7697" w:type="dxa"/>
            <w:tcBorders>
              <w:top w:val="single" w:color="000000" w:sz="4" w:space="0"/>
              <w:left w:val="single" w:color="000000" w:sz="4" w:space="0"/>
              <w:bottom w:val="single" w:color="000000" w:sz="4" w:space="0"/>
              <w:right w:val="single" w:color="000000" w:sz="4" w:space="0"/>
            </w:tcBorders>
            <w:vAlign w:val="top"/>
          </w:tcPr>
          <w:p w14:paraId="6663394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价格分的计算：</w:t>
            </w:r>
          </w:p>
          <w:p w14:paraId="78BAD00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报价得分=（报价基准价/投标报价）×0.20×100</w:t>
            </w:r>
          </w:p>
          <w:p w14:paraId="286A6435">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满足招标文件要求，且最低的报价为基准价，其价格分为满分。</w:t>
            </w:r>
          </w:p>
        </w:tc>
      </w:tr>
      <w:tr w14:paraId="2EC57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585" w:type="dxa"/>
            <w:tcBorders>
              <w:top w:val="single" w:color="000000" w:sz="4" w:space="0"/>
              <w:left w:val="single" w:color="000000" w:sz="4" w:space="0"/>
              <w:bottom w:val="single" w:color="000000" w:sz="4" w:space="0"/>
              <w:right w:val="single" w:color="000000" w:sz="4" w:space="0"/>
            </w:tcBorders>
            <w:vAlign w:val="center"/>
          </w:tcPr>
          <w:p w14:paraId="47329DFE">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技术分(65分)</w:t>
            </w:r>
          </w:p>
          <w:p w14:paraId="77C4B64A">
            <w:pPr>
              <w:pStyle w:val="2"/>
              <w:keepNext w:val="0"/>
              <w:keepLines w:val="0"/>
              <w:pageBreakBefore w:val="0"/>
              <w:widowControl/>
              <w:kinsoku/>
              <w:wordWrap/>
              <w:overflowPunct/>
              <w:topLinePunct w:val="0"/>
              <w:autoSpaceDE/>
              <w:autoSpaceDN/>
              <w:bidi w:val="0"/>
              <w:adjustRightInd/>
              <w:snapToGrid/>
              <w:spacing w:before="120" w:beforeAutospacing="0" w:after="120" w:afterAutospacing="0" w:line="360" w:lineRule="auto"/>
              <w:jc w:val="left"/>
              <w:textAlignment w:val="baseline"/>
              <w:rPr>
                <w:rStyle w:val="11"/>
                <w:rFonts w:hint="eastAsia" w:ascii="方正仿宋_GBK" w:hAnsi="方正仿宋_GBK" w:eastAsia="方正仿宋_GBK" w:cs="方正仿宋_GBK"/>
                <w:b w:val="0"/>
                <w:bCs w:val="0"/>
                <w:i w:val="0"/>
                <w:caps/>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spacing w:val="0"/>
                <w:w w:val="100"/>
                <w:kern w:val="2"/>
                <w:sz w:val="32"/>
                <w:szCs w:val="32"/>
                <w:highlight w:val="none"/>
                <w:lang w:val="en-US" w:eastAsia="zh-CN" w:bidi="ar-SA"/>
              </w:rPr>
              <w:t>（若投标人技术部分的实际得分少于招标文件设定的技术部分总分50%的投标无效。）</w:t>
            </w:r>
          </w:p>
        </w:tc>
        <w:tc>
          <w:tcPr>
            <w:tcW w:w="7697" w:type="dxa"/>
            <w:tcBorders>
              <w:top w:val="single" w:color="000000" w:sz="4" w:space="0"/>
              <w:left w:val="single" w:color="000000" w:sz="4" w:space="0"/>
              <w:bottom w:val="single" w:color="000000" w:sz="4" w:space="0"/>
              <w:right w:val="single" w:color="000000" w:sz="4" w:space="0"/>
            </w:tcBorders>
            <w:vAlign w:val="top"/>
          </w:tcPr>
          <w:p w14:paraId="03D3A0BD">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2"/>
                <w:sz w:val="32"/>
                <w:szCs w:val="32"/>
                <w:highlight w:val="none"/>
                <w:lang w:val="en-US" w:eastAsia="zh-CN" w:bidi="ar-SA"/>
              </w:rPr>
              <w:t>一</w:t>
            </w: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、投标与招标要求的符合性（50分）：</w:t>
            </w:r>
          </w:p>
          <w:p w14:paraId="3DD0AD8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评委根据各投标人所投产品的技术性能对招标文件第一章“项目概况及要求”</w:t>
            </w:r>
          </w:p>
          <w:p w14:paraId="22C9A781">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 xml:space="preserve">第1点到第3点（APP端、微信端、电脑端后台）中各项技术要求的响应承诺情况进行评议评分，完全满足所有技术条款的得50分。对于不满足招标文件中技术要求的，每负偏离一项扣1分扣完为止。正偏离不加分。 </w:t>
            </w:r>
          </w:p>
          <w:p w14:paraId="4D2CEFD5">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 xml:space="preserve">二、有独立APP，可以在APP内实现考试、培训等功能，提供APP苹果市场和安卓市场截图加盖公章（3分）,未提供不得分； </w:t>
            </w:r>
          </w:p>
          <w:p w14:paraId="25F39F8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三、有护理相关题库，题目数量超过20万道，提供</w:t>
            </w: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题库数目</w:t>
            </w: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截图加盖公章（3分）,未提供不得分；</w:t>
            </w:r>
          </w:p>
          <w:p w14:paraId="45A3E519">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四、考试具有作弊监控机制，可以监控退出考试界面次数。提供系统截图加盖公章（3分）,未提供不得分；</w:t>
            </w:r>
          </w:p>
          <w:p w14:paraId="38210FC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五、通过微信公众号完成护士人员档案录入及审批。提供系统截图加盖公章（3分）,未提供不得分；</w:t>
            </w:r>
          </w:p>
          <w:p w14:paraId="7E58239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六、视频播放过程中可以弹出考试题目，测试学习效果。提供系统截图加盖公章（3分）,未提供不得分；</w:t>
            </w:r>
          </w:p>
        </w:tc>
      </w:tr>
      <w:tr w14:paraId="38006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585" w:type="dxa"/>
            <w:tcBorders>
              <w:top w:val="single" w:color="000000" w:sz="4" w:space="0"/>
              <w:left w:val="single" w:color="000000" w:sz="4" w:space="0"/>
              <w:bottom w:val="single" w:color="000000" w:sz="4" w:space="0"/>
              <w:right w:val="single" w:color="000000" w:sz="4" w:space="0"/>
            </w:tcBorders>
            <w:vAlign w:val="center"/>
          </w:tcPr>
          <w:p w14:paraId="1A58E1A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商务分(15分)</w:t>
            </w:r>
          </w:p>
        </w:tc>
        <w:tc>
          <w:tcPr>
            <w:tcW w:w="7697" w:type="dxa"/>
            <w:tcBorders>
              <w:top w:val="single" w:color="000000" w:sz="4" w:space="0"/>
              <w:left w:val="single" w:color="000000" w:sz="4" w:space="0"/>
              <w:bottom w:val="single" w:color="000000" w:sz="4" w:space="0"/>
              <w:right w:val="single" w:color="000000" w:sz="4" w:space="0"/>
            </w:tcBorders>
            <w:vAlign w:val="top"/>
          </w:tcPr>
          <w:p w14:paraId="0852C931">
            <w:pPr>
              <w:pStyle w:val="2"/>
              <w:keepNext w:val="0"/>
              <w:keepLines w:val="0"/>
              <w:pageBreakBefore w:val="0"/>
              <w:widowControl/>
              <w:numPr>
                <w:ilvl w:val="0"/>
                <w:numId w:val="1"/>
              </w:numPr>
              <w:kinsoku/>
              <w:wordWrap/>
              <w:overflowPunct/>
              <w:topLinePunct w:val="0"/>
              <w:autoSpaceDE/>
              <w:autoSpaceDN/>
              <w:bidi w:val="0"/>
              <w:adjustRightInd/>
              <w:snapToGrid/>
              <w:spacing w:before="120" w:beforeAutospacing="0" w:after="12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投标人具有有效的护理教学信息系统类产品的软件著作权证书的得3分，需提供证书复印件，否则不得分。</w:t>
            </w:r>
          </w:p>
          <w:p w14:paraId="67DCFE6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二、效果评估报告（3分）：提供其它医院真实环境的测试及试用的报告，验证该系统完全满足医院护理人员考核及培训要求，满分为3分，每提供一家得1分，最多得3分。未提供相关报告者不得分。</w:t>
            </w:r>
          </w:p>
          <w:p w14:paraId="355B622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三、经验业绩（3分）：评委根据各投标人提供2016年01月01日起至本项目投标截止时间止(日期以合同签订时间为准)由投标人所完成同类项目的业绩情况进行评审，每提供一份完整业绩证明材料的得1分，满分3分。注：投标人须提供合同关键页复印件，关键页包含：合同首页、合同内容页、合同金额页、可识别的合同执行时间页或合同签订时间页、合同签字或盖章页。采购合同文本须加盖投标人公章并注明复印件与原件一致，评标委员会将保留要求投标人提供原件予以核查的权利。评标过程中如发现填报不实，本项不得分。</w:t>
            </w:r>
          </w:p>
          <w:p w14:paraId="1C5C0DAE">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四、售后服务（3分）：根据各投标人的售后服务承诺、维护响应计划进行评审，包括具体的售后服务内容、故障响应时间、响应方式等方面，由评委进行评议，售后服务内容完整、具体的得3分，售后服务基本内容完整、具体的得2分，售后服务内容不完整、不具体的得1分，未提供任何售后服务承诺的本项得0分。</w:t>
            </w:r>
          </w:p>
          <w:p w14:paraId="62A4C5FF">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五、技术培训（3分）：评委根据投标人提供的技术培训方案进行评审，投标人提供详细、合理、可行的技术培训方案的得3分，投标人提供基本可行的技术培训方案的得2分，投标人提供技术培训方案不完整的得1分，未提供或提供的技术培训方案不合理、不可行的得0分。</w:t>
            </w:r>
          </w:p>
        </w:tc>
      </w:tr>
    </w:tbl>
    <w:p w14:paraId="0461A86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p>
    <w:p w14:paraId="0ADDE79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p>
    <w:p w14:paraId="28548A0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p>
    <w:p w14:paraId="14BA5931">
      <w:pPr>
        <w:pStyle w:val="2"/>
        <w:rPr>
          <w:rStyle w:val="11"/>
          <w:rFonts w:hint="eastAsia" w:ascii="黑体" w:hAnsi="黑体" w:eastAsia="黑体" w:cs="黑体"/>
          <w:b w:val="0"/>
          <w:bCs w:val="0"/>
          <w:i w:val="0"/>
          <w:caps w:val="0"/>
          <w:spacing w:val="0"/>
          <w:w w:val="100"/>
          <w:kern w:val="2"/>
          <w:sz w:val="32"/>
          <w:szCs w:val="32"/>
          <w:lang w:val="en-US" w:eastAsia="zh-CN" w:bidi="ar-SA"/>
        </w:rPr>
      </w:pPr>
    </w:p>
    <w:p w14:paraId="344FBC51">
      <w:pPr>
        <w:rPr>
          <w:rFonts w:hint="eastAsia"/>
          <w:lang w:val="en-US" w:eastAsia="zh-CN"/>
        </w:rPr>
      </w:pPr>
    </w:p>
    <w:p w14:paraId="2043168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p>
    <w:p w14:paraId="7EF37911">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五、售后服务方案</w:t>
      </w:r>
    </w:p>
    <w:p w14:paraId="76B74683">
      <w:pPr>
        <w:rPr>
          <w:rFonts w:hint="eastAsia" w:ascii="方正仿宋_GB2312" w:hAnsi="方正仿宋_GB2312" w:eastAsia="方正仿宋_GB2312" w:cs="方正仿宋_GB2312"/>
          <w:sz w:val="32"/>
          <w:szCs w:val="32"/>
        </w:rPr>
      </w:pPr>
      <w:r>
        <w:rPr>
          <w:rFonts w:hint="eastAsia"/>
          <w:lang w:val="en-US" w:eastAsia="zh-CN"/>
        </w:rPr>
        <w:t xml:space="preserve">      </w:t>
      </w: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14:paraId="65CDCE6A">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14:paraId="2E1FB1DD">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（3）本次报价的</w:t>
      </w:r>
      <w:r>
        <w:rPr>
          <w:rFonts w:hint="eastAsia" w:ascii="方正仿宋_GB2312" w:hAnsi="方正仿宋_GB2312" w:eastAsia="方正仿宋_GB2312" w:cs="方正仿宋_GB2312"/>
          <w:sz w:val="32"/>
          <w:szCs w:val="32"/>
          <w:lang w:eastAsia="zh-CN"/>
        </w:rPr>
        <w:t>质</w:t>
      </w:r>
      <w:r>
        <w:rPr>
          <w:rFonts w:hint="eastAsia" w:ascii="方正仿宋_GB2312" w:hAnsi="方正仿宋_GB2312" w:eastAsia="方正仿宋_GB2312" w:cs="方正仿宋_GB2312"/>
          <w:sz w:val="32"/>
          <w:szCs w:val="32"/>
        </w:rPr>
        <w:t>保期至少为</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年，期间成交供应商应提供一切</w:t>
      </w:r>
      <w:r>
        <w:rPr>
          <w:rFonts w:hint="eastAsia" w:ascii="方正仿宋_GB2312" w:hAnsi="方正仿宋_GB2312" w:eastAsia="方正仿宋_GB2312" w:cs="方正仿宋_GB2312"/>
          <w:sz w:val="32"/>
          <w:szCs w:val="32"/>
          <w:lang w:eastAsia="zh-CN"/>
        </w:rPr>
        <w:t>维护</w:t>
      </w:r>
      <w:r>
        <w:rPr>
          <w:rFonts w:hint="eastAsia" w:ascii="方正仿宋_GB2312" w:hAnsi="方正仿宋_GB2312" w:eastAsia="方正仿宋_GB2312" w:cs="方正仿宋_GB2312"/>
          <w:sz w:val="32"/>
          <w:szCs w:val="32"/>
        </w:rPr>
        <w:t>服务</w:t>
      </w:r>
      <w:r>
        <w:rPr>
          <w:rFonts w:hint="eastAsia" w:ascii="方正仿宋_GB2312" w:hAnsi="方正仿宋_GB2312" w:eastAsia="方正仿宋_GB2312" w:cs="方正仿宋_GB2312"/>
          <w:sz w:val="32"/>
          <w:szCs w:val="32"/>
          <w:lang w:eastAsia="zh-CN"/>
        </w:rPr>
        <w:t>。</w:t>
      </w:r>
    </w:p>
    <w:p w14:paraId="567ADC6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14:paraId="7EA318FF">
      <w:pPr>
        <w:pStyle w:val="2"/>
        <w:numPr>
          <w:ilvl w:val="0"/>
          <w:numId w:val="0"/>
        </w:numPr>
        <w:rPr>
          <w:rFonts w:hint="default"/>
          <w:lang w:val="en-US" w:eastAsia="zh-CN"/>
        </w:rPr>
      </w:pPr>
    </w:p>
    <w:p w14:paraId="1997DAC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六、其他要求</w:t>
      </w:r>
    </w:p>
    <w:p w14:paraId="48DCCDD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1.因中标人原因造成采购供货合同无法按时签订，视为中标人违约，中标人违约对采购人造成的损失的，需另行支付相应的赔偿。</w:t>
      </w:r>
    </w:p>
    <w:p w14:paraId="05AF784B">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2.在签定采购供货合同之后，因中标人原因要求解除合同的，视为中标人违约，对采购人造成的损失的，中标人需支付相应的赔偿。</w:t>
      </w:r>
    </w:p>
    <w:p w14:paraId="06CD400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3.以下部分，中标人必须以书面形式做出承诺。不予承诺的，视为未实质性响应招标文件，投标将被拒绝。</w:t>
      </w:r>
    </w:p>
    <w:p w14:paraId="2007F52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 xml:space="preserve">（1）中标人应当保证其所提供的产品为符合国家知识产权法律法规要求的正规正版产品，且上述产品不属于假冒伪劣商品；中标人还应保证采购人在使用该产品或其任何一部分时不受到第三方关于侵犯知识产权以及专利权、商标权或工业设计权等知识产权方面的指控，任何第三方如果提出此方面指控均与甲方无关，乙方应与第三方交涉，并承担可能发生的一切法律责任、费用和后果；若甲方因此而遭致损失的，乙方应赔偿该损失。 </w:t>
      </w:r>
    </w:p>
    <w:p w14:paraId="2900FD5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（2）中标人负责采购人收集的数据、内容信息及用户信息的安全和保密，不得将采购人所提供的信息随意公开，或者向第三方泄漏，未经采购人同意不得将数据用于其他用途；</w:t>
      </w:r>
    </w:p>
    <w:p w14:paraId="3760892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（3）中标人负责在合同期间保障采购人所提供的所有数据长期有效，并定期备份，合同期满后，中标人需将采购人提供的所有数据整理归档并归还采购人，后续不得使用；（需做出承诺函，格式自拟）</w:t>
      </w:r>
    </w:p>
    <w:p w14:paraId="74CC479A">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（4）系统应具备稳定性，使用过程中，因中标人原因造成的年大故障频率小于2次，每次故障时间小于2小时。</w:t>
      </w: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如中标人原因导致服务中断超过3天，乙方应退还相应时间的服务费或延长相应服务时间；</w:t>
      </w:r>
    </w:p>
    <w:p w14:paraId="4FA2CA75">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（5）本项目在合同签订前，中标人必须与采购人事先签订信息安全与数据保密等与信息安全相关的协议，以及反商业行贿类承诺书、协议书。</w:t>
      </w:r>
    </w:p>
    <w:p w14:paraId="05C437A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highlight w:val="none"/>
          <w:lang w:val="en-US" w:eastAsia="zh-CN" w:bidi="ar-SA"/>
        </w:rPr>
        <w:t>（6）实施中因中标人原因造成采购方经济、名誉等损失的，由中标人承担相应的责任。</w:t>
      </w:r>
    </w:p>
    <w:p w14:paraId="663B40D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p>
    <w:p w14:paraId="68F38CFF">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黑体" w:hAnsi="黑体" w:eastAsia="黑体" w:cs="黑体"/>
          <w:b w:val="0"/>
          <w:bCs w:val="0"/>
          <w:i w:val="0"/>
          <w:caps w:val="0"/>
          <w:spacing w:val="0"/>
          <w:w w:val="100"/>
          <w:kern w:val="2"/>
          <w:sz w:val="32"/>
          <w:szCs w:val="32"/>
          <w:lang w:val="en-US" w:eastAsia="zh-CN" w:bidi="ar-SA"/>
        </w:rPr>
      </w:pPr>
      <w:r>
        <w:rPr>
          <w:rStyle w:val="11"/>
          <w:rFonts w:hint="eastAsia" w:ascii="黑体" w:hAnsi="黑体" w:eastAsia="黑体" w:cs="黑体"/>
          <w:b w:val="0"/>
          <w:bCs w:val="0"/>
          <w:i w:val="0"/>
          <w:caps w:val="0"/>
          <w:spacing w:val="0"/>
          <w:w w:val="100"/>
          <w:kern w:val="2"/>
          <w:sz w:val="32"/>
          <w:szCs w:val="32"/>
          <w:lang w:val="en-US" w:eastAsia="zh-CN" w:bidi="ar-SA"/>
        </w:rPr>
        <w:t>七、报名须知</w:t>
      </w:r>
    </w:p>
    <w:p w14:paraId="6B369F2F">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此项目预算总价为叁万伍仟元整（预算价为最高限价，超过或等于最高限价的报价为无效报价）。</w:t>
      </w:r>
    </w:p>
    <w:p w14:paraId="7DB4474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jc w:val="both"/>
        <w:textAlignment w:val="baseline"/>
        <w:rPr>
          <w:rStyle w:val="11"/>
          <w:rFonts w:hint="eastAsia" w:ascii="方正仿宋_GBK" w:hAnsi="方正仿宋_GBK" w:eastAsia="方正仿宋_GBK" w:cs="方正仿宋_GBK"/>
          <w:b w:val="0"/>
          <w:bCs w:val="0"/>
          <w:i w:val="0"/>
          <w:caps w:val="0"/>
          <w:color w:val="000000"/>
          <w:spacing w:val="0"/>
          <w:w w:val="100"/>
          <w:kern w:val="2"/>
          <w:sz w:val="32"/>
          <w:szCs w:val="32"/>
          <w:highlight w:val="none"/>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highlight w:val="none"/>
          <w:lang w:val="en-US" w:eastAsia="zh-CN" w:bidi="ar-SA"/>
        </w:rPr>
        <w:t>中标方需在合同签订后10天内交货</w:t>
      </w:r>
      <w:r>
        <w:rPr>
          <w:rStyle w:val="11"/>
          <w:rFonts w:hint="eastAsia" w:ascii="方正仿宋_GBK" w:hAnsi="方正仿宋_GBK" w:eastAsia="方正仿宋_GBK" w:cs="方正仿宋_GBK"/>
          <w:b w:val="0"/>
          <w:bCs w:val="0"/>
          <w:i w:val="0"/>
          <w:caps w:val="0"/>
          <w:color w:val="000000"/>
          <w:spacing w:val="0"/>
          <w:w w:val="100"/>
          <w:kern w:val="2"/>
          <w:sz w:val="32"/>
          <w:szCs w:val="32"/>
          <w:highlight w:val="none"/>
          <w:lang w:val="en-US" w:eastAsia="zh-CN" w:bidi="ar-SA"/>
        </w:rPr>
        <w:t>。</w:t>
      </w:r>
    </w:p>
    <w:p w14:paraId="082BB31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14:paraId="5D36952D">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5672" w:leftChars="2200" w:hanging="1052" w:hangingChars="329"/>
        <w:jc w:val="left"/>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t>厦门医学院附属口腔医院                                  2024年11月13日</w:t>
      </w:r>
    </w:p>
    <w:p w14:paraId="58D1968B">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p w14:paraId="1DF3CD9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br w:type="page"/>
      </w:r>
    </w:p>
    <w:p w14:paraId="1F7CADF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2"/>
          <w:sz w:val="32"/>
          <w:szCs w:val="32"/>
          <w:lang w:val="en-US" w:eastAsia="zh-CN" w:bidi="ar-SA"/>
        </w:rPr>
      </w:pPr>
    </w:p>
    <w:tbl>
      <w:tblPr>
        <w:tblStyle w:val="8"/>
        <w:tblW w:w="9513"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00"/>
        <w:gridCol w:w="1340"/>
        <w:gridCol w:w="1340"/>
        <w:gridCol w:w="1000"/>
        <w:gridCol w:w="518"/>
        <w:gridCol w:w="722"/>
        <w:gridCol w:w="1341"/>
        <w:gridCol w:w="1115"/>
        <w:gridCol w:w="626"/>
        <w:gridCol w:w="811"/>
      </w:tblGrid>
      <w:tr w14:paraId="63BB4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3380" w:type="dxa"/>
            <w:gridSpan w:val="3"/>
            <w:tcBorders>
              <w:top w:val="nil"/>
              <w:left w:val="nil"/>
              <w:bottom w:val="nil"/>
              <w:right w:val="nil"/>
            </w:tcBorders>
            <w:noWrap/>
            <w:vAlign w:val="bottom"/>
          </w:tcPr>
          <w:p w14:paraId="19DA48D9">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附表一:</w:t>
            </w:r>
          </w:p>
        </w:tc>
        <w:tc>
          <w:tcPr>
            <w:tcW w:w="1000" w:type="dxa"/>
            <w:tcBorders>
              <w:top w:val="nil"/>
              <w:left w:val="nil"/>
              <w:bottom w:val="nil"/>
              <w:right w:val="nil"/>
            </w:tcBorders>
            <w:noWrap/>
            <w:vAlign w:val="bottom"/>
          </w:tcPr>
          <w:p w14:paraId="5292394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240" w:type="dxa"/>
            <w:gridSpan w:val="2"/>
            <w:tcBorders>
              <w:top w:val="nil"/>
              <w:left w:val="nil"/>
              <w:bottom w:val="nil"/>
              <w:right w:val="nil"/>
            </w:tcBorders>
            <w:noWrap/>
            <w:vAlign w:val="bottom"/>
          </w:tcPr>
          <w:p w14:paraId="495804E6">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341" w:type="dxa"/>
            <w:tcBorders>
              <w:top w:val="nil"/>
              <w:left w:val="nil"/>
              <w:bottom w:val="nil"/>
              <w:right w:val="nil"/>
            </w:tcBorders>
            <w:noWrap/>
            <w:vAlign w:val="bottom"/>
          </w:tcPr>
          <w:p w14:paraId="22B1516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115" w:type="dxa"/>
            <w:tcBorders>
              <w:top w:val="nil"/>
              <w:left w:val="nil"/>
              <w:bottom w:val="nil"/>
              <w:right w:val="nil"/>
            </w:tcBorders>
            <w:noWrap/>
            <w:vAlign w:val="bottom"/>
          </w:tcPr>
          <w:p w14:paraId="3123AA71">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437" w:type="dxa"/>
            <w:gridSpan w:val="2"/>
            <w:tcBorders>
              <w:top w:val="nil"/>
              <w:left w:val="nil"/>
              <w:bottom w:val="nil"/>
              <w:right w:val="nil"/>
            </w:tcBorders>
            <w:noWrap/>
            <w:vAlign w:val="bottom"/>
          </w:tcPr>
          <w:p w14:paraId="540CC7E7">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r>
      <w:tr w14:paraId="1E6B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rPr>
        <w:tc>
          <w:tcPr>
            <w:tcW w:w="700" w:type="dxa"/>
            <w:tcBorders>
              <w:top w:val="nil"/>
              <w:left w:val="nil"/>
              <w:bottom w:val="nil"/>
              <w:right w:val="nil"/>
            </w:tcBorders>
            <w:noWrap/>
            <w:vAlign w:val="bottom"/>
          </w:tcPr>
          <w:p w14:paraId="7D137C68">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2680" w:type="dxa"/>
            <w:gridSpan w:val="2"/>
            <w:tcBorders>
              <w:top w:val="nil"/>
              <w:left w:val="nil"/>
              <w:bottom w:val="nil"/>
              <w:right w:val="nil"/>
            </w:tcBorders>
            <w:noWrap/>
            <w:vAlign w:val="bottom"/>
          </w:tcPr>
          <w:p w14:paraId="29E38ACA">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000" w:type="dxa"/>
            <w:tcBorders>
              <w:top w:val="nil"/>
              <w:left w:val="nil"/>
              <w:bottom w:val="nil"/>
              <w:right w:val="nil"/>
            </w:tcBorders>
            <w:noWrap/>
            <w:vAlign w:val="bottom"/>
          </w:tcPr>
          <w:p w14:paraId="7AE74217">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2581" w:type="dxa"/>
            <w:gridSpan w:val="3"/>
            <w:tcBorders>
              <w:top w:val="nil"/>
              <w:left w:val="nil"/>
              <w:bottom w:val="nil"/>
              <w:right w:val="nil"/>
            </w:tcBorders>
            <w:noWrap/>
            <w:vAlign w:val="bottom"/>
          </w:tcPr>
          <w:p w14:paraId="71CBB4D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报价单</w:t>
            </w:r>
          </w:p>
        </w:tc>
        <w:tc>
          <w:tcPr>
            <w:tcW w:w="1115" w:type="dxa"/>
            <w:tcBorders>
              <w:top w:val="nil"/>
              <w:left w:val="nil"/>
              <w:bottom w:val="nil"/>
              <w:right w:val="nil"/>
            </w:tcBorders>
            <w:noWrap/>
            <w:vAlign w:val="bottom"/>
          </w:tcPr>
          <w:p w14:paraId="4DFDE0BE">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437" w:type="dxa"/>
            <w:gridSpan w:val="2"/>
            <w:tcBorders>
              <w:top w:val="nil"/>
              <w:left w:val="nil"/>
              <w:bottom w:val="nil"/>
              <w:right w:val="nil"/>
            </w:tcBorders>
            <w:noWrap/>
            <w:vAlign w:val="bottom"/>
          </w:tcPr>
          <w:p w14:paraId="09239FC5">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r>
      <w:tr w14:paraId="6EE1C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811" w:type="dxa"/>
          <w:trHeight w:val="431" w:hRule="atLeast"/>
        </w:trPr>
        <w:tc>
          <w:tcPr>
            <w:tcW w:w="700" w:type="dxa"/>
            <w:tcBorders>
              <w:top w:val="single" w:color="000000" w:sz="4" w:space="0"/>
              <w:left w:val="single" w:color="000000" w:sz="4" w:space="0"/>
              <w:bottom w:val="single" w:color="000000" w:sz="4" w:space="0"/>
              <w:right w:val="single" w:color="000000" w:sz="4" w:space="0"/>
            </w:tcBorders>
            <w:noWrap/>
            <w:vAlign w:val="bottom"/>
          </w:tcPr>
          <w:p w14:paraId="44BDCE75">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序号</w:t>
            </w:r>
          </w:p>
        </w:tc>
        <w:tc>
          <w:tcPr>
            <w:tcW w:w="1340" w:type="dxa"/>
            <w:tcBorders>
              <w:top w:val="single" w:color="000000" w:sz="4" w:space="0"/>
              <w:left w:val="nil"/>
              <w:bottom w:val="single" w:color="000000" w:sz="4" w:space="0"/>
              <w:right w:val="single" w:color="000000" w:sz="4" w:space="0"/>
            </w:tcBorders>
            <w:noWrap/>
            <w:vAlign w:val="center"/>
          </w:tcPr>
          <w:p w14:paraId="4DD358F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名称</w:t>
            </w:r>
          </w:p>
        </w:tc>
        <w:tc>
          <w:tcPr>
            <w:tcW w:w="1340" w:type="dxa"/>
            <w:tcBorders>
              <w:top w:val="single" w:color="000000" w:sz="4" w:space="0"/>
              <w:left w:val="nil"/>
              <w:bottom w:val="single" w:color="000000" w:sz="4" w:space="0"/>
              <w:right w:val="single" w:color="000000" w:sz="4" w:space="0"/>
            </w:tcBorders>
            <w:noWrap/>
            <w:vAlign w:val="center"/>
          </w:tcPr>
          <w:p w14:paraId="2204C35D">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规格</w:t>
            </w:r>
          </w:p>
          <w:p w14:paraId="35DCB4F7">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型号</w:t>
            </w:r>
          </w:p>
        </w:tc>
        <w:tc>
          <w:tcPr>
            <w:tcW w:w="1518" w:type="dxa"/>
            <w:gridSpan w:val="2"/>
            <w:tcBorders>
              <w:top w:val="single" w:color="000000" w:sz="4" w:space="0"/>
              <w:left w:val="nil"/>
              <w:bottom w:val="single" w:color="000000" w:sz="4" w:space="0"/>
              <w:right w:val="single" w:color="000000" w:sz="4" w:space="0"/>
            </w:tcBorders>
            <w:noWrap/>
            <w:vAlign w:val="center"/>
          </w:tcPr>
          <w:p w14:paraId="538E92CE">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质保期限</w:t>
            </w:r>
          </w:p>
        </w:tc>
        <w:tc>
          <w:tcPr>
            <w:tcW w:w="2063" w:type="dxa"/>
            <w:gridSpan w:val="2"/>
            <w:tcBorders>
              <w:top w:val="single" w:color="000000" w:sz="4" w:space="0"/>
              <w:left w:val="nil"/>
              <w:bottom w:val="single" w:color="000000" w:sz="4" w:space="0"/>
              <w:right w:val="single" w:color="000000" w:sz="4" w:space="0"/>
            </w:tcBorders>
            <w:noWrap/>
            <w:vAlign w:val="center"/>
          </w:tcPr>
          <w:p w14:paraId="555A5C01">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总价</w:t>
            </w:r>
          </w:p>
          <w:p w14:paraId="0B6E26FE">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（元）</w:t>
            </w:r>
          </w:p>
        </w:tc>
        <w:tc>
          <w:tcPr>
            <w:tcW w:w="1741" w:type="dxa"/>
            <w:gridSpan w:val="2"/>
            <w:tcBorders>
              <w:top w:val="single" w:color="000000" w:sz="4" w:space="0"/>
              <w:left w:val="nil"/>
              <w:bottom w:val="single" w:color="000000" w:sz="4" w:space="0"/>
              <w:right w:val="single" w:color="000000" w:sz="4" w:space="0"/>
            </w:tcBorders>
            <w:noWrap/>
            <w:vAlign w:val="center"/>
          </w:tcPr>
          <w:p w14:paraId="0C530DDD">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备注</w:t>
            </w:r>
          </w:p>
        </w:tc>
      </w:tr>
      <w:tr w14:paraId="5944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811" w:type="dxa"/>
          <w:trHeight w:val="425" w:hRule="atLeast"/>
        </w:trPr>
        <w:tc>
          <w:tcPr>
            <w:tcW w:w="700" w:type="dxa"/>
            <w:tcBorders>
              <w:top w:val="nil"/>
              <w:left w:val="single" w:color="000000" w:sz="4" w:space="0"/>
              <w:bottom w:val="single" w:color="000000" w:sz="4" w:space="0"/>
              <w:right w:val="single" w:color="000000" w:sz="4" w:space="0"/>
            </w:tcBorders>
            <w:noWrap/>
            <w:vAlign w:val="bottom"/>
          </w:tcPr>
          <w:p w14:paraId="019E45E6">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1</w:t>
            </w:r>
          </w:p>
        </w:tc>
        <w:tc>
          <w:tcPr>
            <w:tcW w:w="1340" w:type="dxa"/>
            <w:tcBorders>
              <w:top w:val="nil"/>
              <w:left w:val="nil"/>
              <w:bottom w:val="single" w:color="000000" w:sz="4" w:space="0"/>
              <w:right w:val="single" w:color="000000" w:sz="4" w:space="0"/>
            </w:tcBorders>
            <w:noWrap/>
            <w:vAlign w:val="center"/>
          </w:tcPr>
          <w:p w14:paraId="4B03D6A6">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护理助手软件</w:t>
            </w:r>
            <w:bookmarkStart w:id="0" w:name="_GoBack"/>
            <w:bookmarkEnd w:id="0"/>
          </w:p>
        </w:tc>
        <w:tc>
          <w:tcPr>
            <w:tcW w:w="1340" w:type="dxa"/>
            <w:tcBorders>
              <w:top w:val="nil"/>
              <w:left w:val="nil"/>
              <w:bottom w:val="single" w:color="000000" w:sz="4" w:space="0"/>
              <w:right w:val="single" w:color="000000" w:sz="4" w:space="0"/>
            </w:tcBorders>
            <w:noWrap/>
            <w:vAlign w:val="center"/>
          </w:tcPr>
          <w:p w14:paraId="2593AC93">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518" w:type="dxa"/>
            <w:gridSpan w:val="2"/>
            <w:tcBorders>
              <w:top w:val="nil"/>
              <w:left w:val="nil"/>
              <w:bottom w:val="single" w:color="000000" w:sz="4" w:space="0"/>
              <w:right w:val="single" w:color="000000" w:sz="4" w:space="0"/>
            </w:tcBorders>
            <w:noWrap/>
            <w:vAlign w:val="center"/>
          </w:tcPr>
          <w:p w14:paraId="64312C1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default"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1年</w:t>
            </w:r>
          </w:p>
        </w:tc>
        <w:tc>
          <w:tcPr>
            <w:tcW w:w="2063" w:type="dxa"/>
            <w:gridSpan w:val="2"/>
            <w:tcBorders>
              <w:top w:val="nil"/>
              <w:left w:val="nil"/>
              <w:bottom w:val="single" w:color="000000" w:sz="4" w:space="0"/>
              <w:right w:val="single" w:color="000000" w:sz="4" w:space="0"/>
            </w:tcBorders>
            <w:noWrap/>
            <w:vAlign w:val="center"/>
          </w:tcPr>
          <w:p w14:paraId="11A6C25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c>
          <w:tcPr>
            <w:tcW w:w="1741" w:type="dxa"/>
            <w:gridSpan w:val="2"/>
            <w:tcBorders>
              <w:top w:val="nil"/>
              <w:left w:val="nil"/>
              <w:bottom w:val="single" w:color="000000" w:sz="4" w:space="0"/>
              <w:right w:val="single" w:color="000000" w:sz="4" w:space="0"/>
            </w:tcBorders>
            <w:noWrap/>
            <w:vAlign w:val="center"/>
          </w:tcPr>
          <w:p w14:paraId="6EBF469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tc>
      </w:tr>
      <w:tr w14:paraId="1FF95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5" w:hRule="atLeast"/>
        </w:trPr>
        <w:tc>
          <w:tcPr>
            <w:tcW w:w="9513" w:type="dxa"/>
            <w:gridSpan w:val="10"/>
            <w:tcBorders>
              <w:top w:val="nil"/>
              <w:left w:val="single" w:color="000000" w:sz="4" w:space="0"/>
              <w:bottom w:val="single" w:color="000000" w:sz="4" w:space="0"/>
              <w:right w:val="single" w:color="000000" w:sz="4" w:space="0"/>
            </w:tcBorders>
            <w:noWrap/>
            <w:vAlign w:val="bottom"/>
          </w:tcPr>
          <w:p w14:paraId="51E168E5">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合计（人民币）：</w:t>
            </w:r>
          </w:p>
        </w:tc>
      </w:tr>
      <w:tr w14:paraId="4C786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9513" w:type="dxa"/>
            <w:gridSpan w:val="10"/>
            <w:tcBorders>
              <w:top w:val="single" w:color="000000" w:sz="4" w:space="0"/>
              <w:left w:val="nil"/>
              <w:bottom w:val="nil"/>
              <w:right w:val="nil"/>
            </w:tcBorders>
            <w:vAlign w:val="center"/>
          </w:tcPr>
          <w:p w14:paraId="6F0A5B79">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p>
          <w:p w14:paraId="0BF66EF7">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备注：报价单须加盖公章并密封，封口必须盖骑缝章。</w:t>
            </w:r>
          </w:p>
          <w:p w14:paraId="370C1352">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此报价包含税价及安装调试等全部费用。</w:t>
            </w:r>
          </w:p>
        </w:tc>
      </w:tr>
      <w:tr w14:paraId="3E255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9513" w:type="dxa"/>
            <w:gridSpan w:val="10"/>
            <w:tcBorders>
              <w:top w:val="nil"/>
              <w:left w:val="nil"/>
              <w:bottom w:val="nil"/>
              <w:right w:val="nil"/>
            </w:tcBorders>
            <w:vAlign w:val="bottom"/>
          </w:tcPr>
          <w:p w14:paraId="6E3D88EC">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120" w:firstLineChars="1600"/>
              <w:jc w:val="left"/>
              <w:textAlignment w:val="baseline"/>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color w:val="000000"/>
                <w:spacing w:val="0"/>
                <w:w w:val="100"/>
                <w:kern w:val="0"/>
                <w:sz w:val="32"/>
                <w:szCs w:val="32"/>
                <w:lang w:val="en-US" w:eastAsia="zh-CN" w:bidi="ar-SA"/>
              </w:rPr>
              <w:t>公司名称（加盖公章）：</w:t>
            </w:r>
          </w:p>
        </w:tc>
      </w:tr>
    </w:tbl>
    <w:p w14:paraId="26049FB4">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baseline"/>
        <w:rPr>
          <w:rStyle w:val="11"/>
          <w:rFonts w:hint="eastAsia" w:ascii="方正仿宋_GBK" w:hAnsi="方正仿宋_GBK" w:eastAsia="方正仿宋_GBK" w:cs="方正仿宋_GBK"/>
          <w:b w:val="0"/>
          <w:bCs w:val="0"/>
          <w:i w:val="0"/>
          <w:caps w:val="0"/>
          <w:spacing w:val="0"/>
          <w:w w:val="100"/>
          <w:kern w:val="0"/>
          <w:sz w:val="32"/>
          <w:szCs w:val="32"/>
          <w:lang w:val="en-US" w:eastAsia="zh-CN" w:bidi="ar-SA"/>
        </w:rPr>
      </w:pPr>
      <w:r>
        <w:rPr>
          <w:rStyle w:val="11"/>
          <w:rFonts w:hint="eastAsia" w:ascii="方正仿宋_GBK" w:hAnsi="方正仿宋_GBK" w:eastAsia="方正仿宋_GBK" w:cs="方正仿宋_GBK"/>
          <w:b w:val="0"/>
          <w:bCs w:val="0"/>
          <w:i w:val="0"/>
          <w:caps w:val="0"/>
          <w:spacing w:val="0"/>
          <w:w w:val="100"/>
          <w:kern w:val="0"/>
          <w:sz w:val="32"/>
          <w:szCs w:val="32"/>
          <w:lang w:val="en-US" w:eastAsia="zh-CN" w:bidi="ar-SA"/>
        </w:rPr>
        <w:t xml:space="preserve">                            </w:t>
      </w:r>
    </w:p>
    <w:sectPr>
      <w:pgSz w:w="11906" w:h="16838"/>
      <w:pgMar w:top="1440" w:right="1800" w:bottom="1440" w:left="1800"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7F272E-EC97-449D-9B51-4FE16271312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083498FA-AE0A-4FFF-9A60-CB9BF5B068B2}"/>
  </w:font>
  <w:font w:name="方正小标宋_GBK">
    <w:panose1 w:val="03000509000000000000"/>
    <w:charset w:val="86"/>
    <w:family w:val="auto"/>
    <w:pitch w:val="default"/>
    <w:sig w:usb0="00000001" w:usb1="080E0000" w:usb2="00000000" w:usb3="00000000" w:csb0="00040000" w:csb1="00000000"/>
    <w:embedRegular r:id="rId3" w:fontKey="{CCC6FFF0-4DAD-4C40-8F29-57DE490328FF}"/>
  </w:font>
  <w:font w:name="方正仿宋_GBK">
    <w:panose1 w:val="03000509000000000000"/>
    <w:charset w:val="86"/>
    <w:family w:val="auto"/>
    <w:pitch w:val="default"/>
    <w:sig w:usb0="00000001" w:usb1="080E0000" w:usb2="00000000" w:usb3="00000000" w:csb0="00040000" w:csb1="00000000"/>
    <w:embedRegular r:id="rId4" w:fontKey="{9E953CC2-5ECF-4D45-A3C5-3A09E7CFC2C5}"/>
  </w:font>
  <w:font w:name="方正仿宋_GB2312">
    <w:panose1 w:val="02000000000000000000"/>
    <w:charset w:val="86"/>
    <w:family w:val="auto"/>
    <w:pitch w:val="default"/>
    <w:sig w:usb0="A00002BF" w:usb1="184F6CFA" w:usb2="00000012" w:usb3="00000000" w:csb0="00040001" w:csb1="00000000"/>
    <w:embedRegular r:id="rId5" w:fontKey="{B673292F-DA31-4BF3-960C-803ADAF6D02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A8039A"/>
    <w:multiLevelType w:val="singleLevel"/>
    <w:tmpl w:val="F8A8039A"/>
    <w:lvl w:ilvl="0" w:tentative="0">
      <w:start w:val="1"/>
      <w:numFmt w:val="chineseCounting"/>
      <w:suff w:val="nothing"/>
      <w:lvlText w:val="%1、"/>
      <w:lvlJc w:val="left"/>
      <w:pPr>
        <w:widowControl/>
        <w:textAlignment w:val="baseline"/>
      </w:pPr>
      <w:rPr>
        <w:rStyle w:val="1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ompat>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000000"/>
    <w:rsid w:val="0CF066D5"/>
    <w:rsid w:val="0E422589"/>
    <w:rsid w:val="14CA409B"/>
    <w:rsid w:val="255543B8"/>
    <w:rsid w:val="35F233EA"/>
    <w:rsid w:val="3BD61956"/>
    <w:rsid w:val="44340E0E"/>
    <w:rsid w:val="539570AB"/>
    <w:rsid w:val="68FB56A2"/>
    <w:rsid w:val="71A54A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3"/>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3">
    <w:name w:val="heading 4"/>
    <w:basedOn w:val="1"/>
    <w:next w:val="1"/>
    <w:semiHidden/>
    <w:unhideWhenUsed/>
    <w:qFormat/>
    <w:uiPriority w:val="9"/>
    <w:pPr>
      <w:widowControl/>
      <w:spacing w:before="100" w:beforeAutospacing="1" w:after="100" w:afterAutospacing="1"/>
      <w:jc w:val="left"/>
      <w:outlineLvl w:val="3"/>
    </w:pPr>
    <w:rPr>
      <w:rFonts w:ascii="宋体" w:hAnsi="宋体" w:cs="宋体"/>
      <w:kern w:val="0"/>
      <w:sz w:val="24"/>
      <w:szCs w:val="24"/>
    </w:rPr>
  </w:style>
  <w:style w:type="character" w:default="1" w:styleId="9">
    <w:name w:val="Default Paragraph Font"/>
    <w:semiHidden/>
    <w:qFormat/>
    <w:uiPriority w:val="0"/>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TOC1"/>
    <w:next w:val="1"/>
    <w:qFormat/>
    <w:uiPriority w:val="0"/>
    <w:pPr>
      <w:spacing w:before="120" w:after="120"/>
      <w:jc w:val="left"/>
      <w:textAlignment w:val="baseline"/>
    </w:pPr>
    <w:rPr>
      <w:rFonts w:ascii="Times New Roman" w:hAnsi="Times New Roman" w:eastAsia="宋体" w:cs="Times New Roman"/>
      <w:b/>
      <w:bCs/>
      <w:caps/>
      <w:kern w:val="2"/>
      <w:sz w:val="20"/>
      <w:szCs w:val="20"/>
      <w:lang w:val="en-US" w:eastAsia="zh-CN" w:bidi="ar-SA"/>
    </w:rPr>
  </w:style>
  <w:style w:type="paragraph" w:styleId="4">
    <w:name w:val="Date"/>
    <w:basedOn w:val="1"/>
    <w:next w:val="1"/>
    <w:link w:val="18"/>
    <w:qFormat/>
    <w:uiPriority w:val="0"/>
    <w:pPr>
      <w:ind w:left="100" w:leftChars="2500"/>
      <w:jc w:val="both"/>
      <w:textAlignment w:val="baseline"/>
    </w:pPr>
  </w:style>
  <w:style w:type="paragraph" w:styleId="5">
    <w:name w:val="footer"/>
    <w:basedOn w:val="1"/>
    <w:link w:val="14"/>
    <w:qFormat/>
    <w:uiPriority w:val="0"/>
    <w:pPr>
      <w:tabs>
        <w:tab w:val="center" w:pos="4153"/>
        <w:tab w:val="right" w:pos="8306"/>
      </w:tabs>
      <w:snapToGrid w:val="0"/>
      <w:jc w:val="left"/>
      <w:textAlignment w:val="baseline"/>
    </w:pPr>
    <w:rPr>
      <w:rFonts w:ascii="Times New Roman" w:hAnsi="Times New Roman"/>
      <w:kern w:val="2"/>
      <w:sz w:val="18"/>
      <w:szCs w:val="18"/>
      <w:lang w:val="en-US" w:eastAsia="zh-CN" w:bidi="ar-SA"/>
    </w:rPr>
  </w:style>
  <w:style w:type="paragraph" w:styleId="6">
    <w:name w:val="header"/>
    <w:basedOn w:val="1"/>
    <w:link w:val="15"/>
    <w:qFormat/>
    <w:uiPriority w:val="0"/>
    <w:pPr>
      <w:pBdr>
        <w:bottom w:val="single" w:color="000000" w:sz="6" w:space="1"/>
      </w:pBdr>
      <w:tabs>
        <w:tab w:val="center" w:pos="4153"/>
        <w:tab w:val="right" w:pos="8306"/>
      </w:tabs>
      <w:snapToGrid w:val="0"/>
      <w:jc w:val="center"/>
      <w:textAlignment w:val="baseline"/>
    </w:pPr>
    <w:rPr>
      <w:rFonts w:ascii="Times New Roman" w:hAnsi="Times New Roman"/>
      <w:kern w:val="2"/>
      <w:sz w:val="18"/>
      <w:szCs w:val="18"/>
      <w:lang w:val="en-US" w:eastAsia="zh-CN" w:bidi="ar-SA"/>
    </w:rPr>
  </w:style>
  <w:style w:type="paragraph" w:styleId="7">
    <w:name w:val="Normal (Web)"/>
    <w:basedOn w:val="1"/>
    <w:qFormat/>
    <w:uiPriority w:val="99"/>
    <w:pPr>
      <w:spacing w:beforeAutospacing="1" w:afterAutospacing="1"/>
      <w:jc w:val="left"/>
    </w:pPr>
    <w:rPr>
      <w:rFonts w:cs="Times New Roman"/>
      <w:kern w:val="0"/>
      <w:sz w:val="24"/>
    </w:rPr>
  </w:style>
  <w:style w:type="paragraph" w:customStyle="1" w:styleId="10">
    <w:name w:val="Heading4"/>
    <w:basedOn w:val="1"/>
    <w:next w:val="1"/>
    <w:qFormat/>
    <w:uiPriority w:val="0"/>
    <w:pPr>
      <w:spacing w:before="100" w:beforeAutospacing="1" w:after="100" w:afterAutospacing="1"/>
      <w:jc w:val="both"/>
      <w:textAlignment w:val="baseline"/>
    </w:pPr>
  </w:style>
  <w:style w:type="character" w:customStyle="1" w:styleId="11">
    <w:name w:val="NormalCharacter"/>
    <w:link w:val="1"/>
    <w:qFormat/>
    <w:uiPriority w:val="0"/>
  </w:style>
  <w:style w:type="table" w:customStyle="1" w:styleId="12">
    <w:name w:val="TableNormal"/>
    <w:qFormat/>
    <w:uiPriority w:val="0"/>
  </w:style>
  <w:style w:type="character" w:customStyle="1" w:styleId="13">
    <w:name w:val="AnnotationReference"/>
    <w:link w:val="1"/>
    <w:semiHidden/>
    <w:qFormat/>
    <w:uiPriority w:val="0"/>
    <w:rPr>
      <w:sz w:val="21"/>
      <w:szCs w:val="21"/>
    </w:rPr>
  </w:style>
  <w:style w:type="character" w:customStyle="1" w:styleId="14">
    <w:name w:val="UserStyle_0"/>
    <w:link w:val="5"/>
    <w:qFormat/>
    <w:uiPriority w:val="0"/>
    <w:rPr>
      <w:rFonts w:ascii="Times New Roman" w:hAnsi="Times New Roman"/>
      <w:kern w:val="2"/>
      <w:sz w:val="18"/>
      <w:szCs w:val="18"/>
    </w:rPr>
  </w:style>
  <w:style w:type="character" w:customStyle="1" w:styleId="15">
    <w:name w:val="UserStyle_1"/>
    <w:link w:val="6"/>
    <w:qFormat/>
    <w:uiPriority w:val="0"/>
    <w:rPr>
      <w:rFonts w:ascii="Times New Roman" w:hAnsi="Times New Roman"/>
      <w:kern w:val="2"/>
      <w:sz w:val="18"/>
      <w:szCs w:val="18"/>
    </w:rPr>
  </w:style>
  <w:style w:type="character" w:customStyle="1" w:styleId="16">
    <w:name w:val="UserStyle_2"/>
    <w:basedOn w:val="11"/>
    <w:link w:val="17"/>
    <w:semiHidden/>
    <w:qFormat/>
    <w:uiPriority w:val="0"/>
    <w:rPr>
      <w:rFonts w:ascii="宋体" w:hAnsi="Courier New"/>
      <w:kern w:val="2"/>
      <w:sz w:val="21"/>
      <w:szCs w:val="21"/>
    </w:rPr>
  </w:style>
  <w:style w:type="paragraph" w:customStyle="1" w:styleId="17">
    <w:name w:val="PlainText"/>
    <w:basedOn w:val="1"/>
    <w:link w:val="16"/>
    <w:qFormat/>
    <w:uiPriority w:val="0"/>
    <w:pPr>
      <w:jc w:val="both"/>
      <w:textAlignment w:val="baseline"/>
    </w:pPr>
    <w:rPr>
      <w:rFonts w:ascii="宋体" w:hAnsi="Courier New"/>
      <w:kern w:val="2"/>
      <w:sz w:val="21"/>
      <w:szCs w:val="21"/>
      <w:lang w:val="en-US" w:eastAsia="zh-CN" w:bidi="ar-SA"/>
    </w:rPr>
  </w:style>
  <w:style w:type="character" w:customStyle="1" w:styleId="18">
    <w:name w:val="UserStyle_3"/>
    <w:link w:val="4"/>
    <w:semiHidden/>
    <w:qFormat/>
    <w:uiPriority w:val="0"/>
    <w:rPr>
      <w:rFonts w:ascii="Times New Roman" w:hAnsi="Times New Roman"/>
      <w:kern w:val="2"/>
      <w:sz w:val="21"/>
      <w:szCs w:val="24"/>
    </w:rPr>
  </w:style>
  <w:style w:type="paragraph" w:customStyle="1" w:styleId="19">
    <w:name w:val="HtmlNormal"/>
    <w:basedOn w:val="1"/>
    <w:qFormat/>
    <w:uiPriority w:val="0"/>
    <w:pPr>
      <w:spacing w:before="100" w:beforeAutospacing="1" w:after="100" w:afterAutospacing="1"/>
      <w:ind w:left="0" w:right="0"/>
      <w:jc w:val="left"/>
      <w:textAlignment w:val="baseline"/>
    </w:pPr>
    <w:rPr>
      <w:rFonts w:ascii="Times New Roman" w:hAnsi="Times New Roman"/>
      <w:kern w:val="0"/>
      <w:sz w:val="24"/>
      <w:szCs w:val="24"/>
      <w:lang w:val="en-US" w:eastAsia="zh-CN"/>
    </w:rPr>
  </w:style>
  <w:style w:type="paragraph" w:customStyle="1" w:styleId="20">
    <w:name w:val="AnnotationText"/>
    <w:basedOn w:val="1"/>
    <w:qFormat/>
    <w:uiPriority w:val="0"/>
    <w:pPr>
      <w:jc w:val="left"/>
      <w:textAlignment w:val="baseline"/>
    </w:pPr>
  </w:style>
  <w:style w:type="paragraph" w:customStyle="1" w:styleId="21">
    <w:name w:val="UserStyle_4"/>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customStyle="1" w:styleId="22">
    <w:name w:val="UserStyle_5"/>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customStyle="1" w:styleId="23">
    <w:name w:val="UserStyle_6"/>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 w:type="paragraph" w:customStyle="1" w:styleId="24">
    <w:name w:val="UserStyle_7"/>
    <w:basedOn w:val="17"/>
    <w:qFormat/>
    <w:uiPriority w:val="0"/>
    <w:pPr>
      <w:jc w:val="both"/>
      <w:textAlignment w:val="baseline"/>
    </w:pPr>
  </w:style>
  <w:style w:type="paragraph" w:customStyle="1" w:styleId="25">
    <w:name w:val="UserStyle_8"/>
    <w:basedOn w:val="1"/>
    <w:qFormat/>
    <w:uiPriority w:val="0"/>
    <w:pPr>
      <w:ind w:firstLine="420" w:firstLineChars="200"/>
      <w:jc w:val="both"/>
      <w:textAlignment w:val="baseline"/>
    </w:pPr>
  </w:style>
  <w:style w:type="table" w:customStyle="1" w:styleId="26">
    <w:name w:val="TableGrid"/>
    <w:basedOn w:val="12"/>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21</Pages>
  <Words>1966</Words>
  <Characters>2097</Characters>
  <TotalTime>41</TotalTime>
  <ScaleCrop>false</ScaleCrop>
  <LinksUpToDate>false</LinksUpToDate>
  <CharactersWithSpaces>2098</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2021-08-20T03:43:00Z</dcterms:created>
  <dc:creator>51637</dc:creator>
  <cp:lastModifiedBy>svfly</cp:lastModifiedBy>
  <cp:lastPrinted>2021-09-03T02:07:00Z</cp:lastPrinted>
  <dcterms:modified xsi:type="dcterms:W3CDTF">2024-11-12T03:32:49Z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3C5ADD857BD04446840AFEBF177E003D_13</vt:lpwstr>
  </property>
</Properties>
</file>