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1"/>
          <w:numId w:val="0"/>
        </w:numPr>
        <w:spacing w:line="500" w:lineRule="exact"/>
        <w:rPr>
          <w:rFonts w:ascii="仿宋" w:hAnsi="仿宋" w:eastAsia="仿宋"/>
          <w:sz w:val="32"/>
          <w:szCs w:val="32"/>
          <w:lang w:val="zh-CN"/>
        </w:rPr>
      </w:pPr>
      <w:r>
        <w:rPr>
          <w:rFonts w:hint="eastAsia" w:ascii="方正小标宋_GBK" w:hAnsi="方正小标宋_GBK" w:eastAsia="方正小标宋_GBK" w:cs="方正小标宋_GBK"/>
          <w:sz w:val="44"/>
          <w:szCs w:val="44"/>
          <w:lang w:val="zh-CN"/>
        </w:rPr>
        <w:t>需求内容</w:t>
      </w:r>
      <w:r>
        <w:rPr>
          <w:rFonts w:hint="eastAsia" w:ascii="方正小标宋_GBK" w:hAnsi="方正小标宋_GBK" w:eastAsia="方正小标宋_GBK" w:cs="方正小标宋_GBK"/>
          <w:sz w:val="44"/>
          <w:szCs w:val="44"/>
          <w:lang w:val="en-US" w:eastAsia="zh-CN"/>
        </w:rPr>
        <w:t>-数字图书馆</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一、需求概况</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数字图书馆服务，包含数字图书馆平台、移动图书馆平台及其他。</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二、主要技术指标</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（一）数字图书馆平台</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1、提供基于大数据的云存储、云服务；使用不受时间、空间限制；无需提供机房等存储设备、服务器等硬件设施。</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2、可提供中外文电子图书、中文期刊、外文期刊、中外文学位论文、中外文会议论文、知识、文档，中外文标准、中外文专利等常用的不少于15种类型的文献资源元数据。</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中文图书不少于500万种元数据，医学类图书不少于25万种元数据。可实现中文图书的全文内容知识点检索，任意检索词皆能找到出自哪本书的哪一页，在知识点阅读页面可指向图书书目信息页，实现图书书目信息页的跳转。可实现在线的图书书内检索。</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4、中文医学期刊元数据不少于3000种，外文医学期刊元数据不少于30000种，元数据收录回溯从创刊五年之内开始。</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5、中文学位论文元数据不少于2000万篇；外文学位论文元数据不少于60万篇。</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（二）移动图书馆平台</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1、为医院定制移动端移动图书馆平台。可将数字图书馆、移动学术资源、学术直播等过统一平台进行集中管理。</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2、移动图书馆平台提供移动学术直播功能，可直播全院大会及学术交流会议等各类会议。直播提供即时云存储方式，可随时反复回播。直播过程中还可进行在线互动。</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3、移动图书馆APP提供学术云盘功能及云盘空间，支持文件上传、下载，文件共享、云盘资源转发功能。</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4、移动图书馆提供云学习笔记本功能，提供私有笔记、共享笔记、公开笔记功能设置，笔记可添加文字、视频、图片，支持语音笔记、语音识别、转发等。</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5、移动图书馆提供本单位移动发现搜索、可一站式检索同一知识点相关的16种类型文献。研究人员可通过移动设备瞬间得到多纬度学术分析支持：提供研究主题在作者、作者机构、核心期刊等方面中的统计分析柱状图；提供研究主题在各地区、各种期刊刊种等学术资源中数量所占百分比分析饼状图；提供研究主题在各类基金、科技成果在各地区等学术资源中检索结果的数据统计饼状图；提供研究主题在中文学科、外文学科等学术资源中所占数量分类统计饼状图。</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（三）其他：</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辅助查重，可对医院现有的图书馆门户网站在原基础上进行更新升级。</w:t>
      </w: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2"/>
        <w:rPr>
          <w:rFonts w:hint="eastAsia" w:ascii="仿宋" w:hAnsi="仿宋" w:eastAsia="仿宋" w:cs="仿宋"/>
          <w:color w:val="000000" w:themeColor="text1"/>
          <w:sz w:val="32"/>
          <w:szCs w:val="32"/>
          <w:lang w:eastAsia="zh-CN"/>
          <w14:textFill>
            <w14:solidFill>
              <w14:schemeClr w14:val="tx1"/>
            </w14:solidFill>
          </w14:textFill>
        </w:rPr>
      </w:pPr>
    </w:p>
    <w:tbl>
      <w:tblPr>
        <w:tblStyle w:val="10"/>
        <w:tblpPr w:leftFromText="180" w:rightFromText="180" w:vertAnchor="text" w:horzAnchor="page" w:tblpX="1230" w:tblpY="1559"/>
        <w:tblOverlap w:val="never"/>
        <w:tblW w:w="10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275"/>
        <w:gridCol w:w="6022"/>
        <w:gridCol w:w="2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blHeader/>
          <w:jc w:val="center"/>
        </w:trPr>
        <w:tc>
          <w:tcPr>
            <w:tcW w:w="234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val="0"/>
              <w:topLinePunct w:val="0"/>
              <w:autoSpaceDE/>
              <w:autoSpaceDN/>
              <w:bidi w:val="0"/>
              <w:adjustRightInd/>
              <w:snapToGrid/>
              <w:spacing w:after="0" w:line="300" w:lineRule="exact"/>
              <w:ind w:left="0"/>
              <w:jc w:val="center"/>
              <w:textAlignment w:val="auto"/>
              <w:rPr>
                <w:rFonts w:hint="eastAsia" w:ascii="宋体" w:hAnsi="宋体" w:eastAsia="宋体" w:cs="宋体"/>
                <w:b/>
                <w:kern w:val="2"/>
                <w:sz w:val="21"/>
                <w:szCs w:val="21"/>
                <w:lang w:val="en-US" w:eastAsia="zh-CN"/>
              </w:rPr>
            </w:pPr>
            <w:bookmarkStart w:id="0" w:name="_Toc501964495"/>
            <w:r>
              <w:rPr>
                <w:rFonts w:hint="eastAsia" w:ascii="宋体" w:hAnsi="宋体" w:eastAsia="宋体" w:cs="宋体"/>
                <w:b/>
                <w:kern w:val="2"/>
                <w:sz w:val="21"/>
                <w:szCs w:val="21"/>
                <w:lang w:eastAsia="zh-CN"/>
              </w:rPr>
              <w:t>评分因素</w:t>
            </w:r>
            <w:r>
              <w:rPr>
                <w:rFonts w:hint="eastAsia" w:ascii="宋体" w:hAnsi="宋体" w:eastAsia="宋体" w:cs="宋体"/>
                <w:b/>
                <w:kern w:val="2"/>
                <w:sz w:val="21"/>
                <w:szCs w:val="21"/>
                <w:lang w:val="en-US" w:eastAsia="zh-CN"/>
              </w:rPr>
              <w:t>/分值</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val="0"/>
              <w:topLinePunct w:val="0"/>
              <w:autoSpaceDE/>
              <w:autoSpaceDN/>
              <w:bidi w:val="0"/>
              <w:adjustRightInd/>
              <w:snapToGrid/>
              <w:spacing w:after="0" w:line="300" w:lineRule="exact"/>
              <w:ind w:left="0"/>
              <w:jc w:val="center"/>
              <w:textAlignment w:val="auto"/>
              <w:rPr>
                <w:rFonts w:hint="eastAsia" w:ascii="宋体" w:hAnsi="宋体" w:eastAsia="宋体" w:cs="宋体"/>
                <w:b/>
                <w:kern w:val="2"/>
                <w:sz w:val="21"/>
                <w:szCs w:val="21"/>
              </w:rPr>
            </w:pPr>
            <w:r>
              <w:rPr>
                <w:rFonts w:hint="eastAsia" w:ascii="宋体" w:hAnsi="宋体" w:eastAsia="宋体" w:cs="宋体"/>
                <w:b/>
                <w:spacing w:val="2"/>
                <w:kern w:val="2"/>
                <w:sz w:val="21"/>
                <w:szCs w:val="21"/>
              </w:rPr>
              <w:t>评分标</w:t>
            </w:r>
            <w:r>
              <w:rPr>
                <w:rFonts w:hint="eastAsia" w:ascii="宋体" w:hAnsi="宋体" w:eastAsia="宋体" w:cs="宋体"/>
                <w:b/>
                <w:kern w:val="2"/>
                <w:sz w:val="21"/>
                <w:szCs w:val="21"/>
              </w:rPr>
              <w:t>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val="0"/>
              <w:topLinePunct w:val="0"/>
              <w:autoSpaceDE/>
              <w:autoSpaceDN/>
              <w:bidi w:val="0"/>
              <w:adjustRightInd/>
              <w:snapToGrid/>
              <w:spacing w:after="0" w:line="300" w:lineRule="exact"/>
              <w:ind w:left="0"/>
              <w:jc w:val="center"/>
              <w:textAlignment w:val="auto"/>
              <w:rPr>
                <w:rFonts w:hint="eastAsia" w:ascii="宋体" w:hAnsi="宋体" w:eastAsia="宋体" w:cs="宋体"/>
                <w:b/>
                <w:spacing w:val="2"/>
                <w:kern w:val="2"/>
                <w:sz w:val="21"/>
                <w:szCs w:val="21"/>
              </w:rPr>
            </w:pPr>
            <w:r>
              <w:rPr>
                <w:rFonts w:hint="eastAsia" w:ascii="宋体" w:hAnsi="宋体" w:cs="宋体"/>
                <w:b/>
                <w:spacing w:val="2"/>
                <w:kern w:val="2"/>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blHeader/>
          <w:jc w:val="center"/>
        </w:trPr>
        <w:tc>
          <w:tcPr>
            <w:tcW w:w="234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val="0"/>
              <w:topLinePunct w:val="0"/>
              <w:autoSpaceDE/>
              <w:autoSpaceDN/>
              <w:bidi w:val="0"/>
              <w:adjustRightInd/>
              <w:snapToGrid/>
              <w:spacing w:after="0" w:line="300" w:lineRule="exact"/>
              <w:ind w:left="0"/>
              <w:jc w:val="center"/>
              <w:textAlignment w:val="auto"/>
              <w:rPr>
                <w:rFonts w:hint="eastAsia" w:ascii="宋体" w:hAnsi="宋体" w:eastAsia="宋体" w:cs="宋体"/>
                <w:spacing w:val="2"/>
                <w:kern w:val="2"/>
                <w:sz w:val="21"/>
                <w:szCs w:val="21"/>
                <w:lang w:eastAsia="zh-CN"/>
              </w:rPr>
            </w:pPr>
            <w:r>
              <w:rPr>
                <w:rFonts w:hint="eastAsia" w:ascii="宋体" w:hAnsi="宋体" w:eastAsia="宋体" w:cs="宋体"/>
                <w:spacing w:val="-1"/>
                <w:kern w:val="2"/>
                <w:sz w:val="21"/>
                <w:szCs w:val="21"/>
              </w:rPr>
              <w:t>价</w:t>
            </w:r>
            <w:r>
              <w:rPr>
                <w:rFonts w:hint="eastAsia" w:ascii="宋体" w:hAnsi="宋体" w:eastAsia="宋体" w:cs="宋体"/>
                <w:spacing w:val="2"/>
                <w:kern w:val="2"/>
                <w:sz w:val="21"/>
                <w:szCs w:val="21"/>
              </w:rPr>
              <w:t>格</w:t>
            </w:r>
          </w:p>
          <w:p>
            <w:pPr>
              <w:keepNext w:val="0"/>
              <w:keepLines w:val="0"/>
              <w:pageBreakBefore w:val="0"/>
              <w:widowControl w:val="0"/>
              <w:kinsoku w:val="0"/>
              <w:wordWrap/>
              <w:overflowPunct w:val="0"/>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rPr>
            </w:pPr>
            <w:r>
              <w:rPr>
                <w:rFonts w:hint="eastAsia" w:ascii="宋体" w:hAnsi="宋体" w:eastAsia="宋体" w:cs="宋体"/>
                <w:kern w:val="2"/>
                <w:sz w:val="21"/>
                <w:szCs w:val="21"/>
              </w:rPr>
              <w:t>部</w:t>
            </w:r>
            <w:r>
              <w:rPr>
                <w:rFonts w:hint="eastAsia" w:ascii="宋体" w:hAnsi="宋体" w:eastAsia="宋体" w:cs="宋体"/>
                <w:spacing w:val="-1"/>
                <w:kern w:val="2"/>
                <w:sz w:val="21"/>
                <w:szCs w:val="21"/>
              </w:rPr>
              <w:t>分</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lang w:val="en-US" w:eastAsia="zh-CN"/>
              </w:rPr>
            </w:pPr>
            <w:r>
              <w:rPr>
                <w:rFonts w:hint="eastAsia" w:ascii="宋体" w:hAnsi="宋体" w:eastAsia="宋体" w:cs="宋体"/>
                <w:spacing w:val="2"/>
                <w:kern w:val="2"/>
                <w:sz w:val="21"/>
                <w:szCs w:val="21"/>
              </w:rPr>
              <w:t>（</w:t>
            </w:r>
            <w:r>
              <w:rPr>
                <w:rFonts w:hint="eastAsia" w:ascii="宋体" w:hAnsi="宋体" w:cs="宋体"/>
                <w:spacing w:val="2"/>
                <w:kern w:val="2"/>
                <w:sz w:val="21"/>
                <w:szCs w:val="21"/>
                <w:lang w:val="en-US" w:eastAsia="zh-CN"/>
              </w:rPr>
              <w:t>15</w:t>
            </w:r>
            <w:r>
              <w:rPr>
                <w:rFonts w:hint="eastAsia" w:ascii="宋体" w:hAnsi="宋体" w:eastAsia="宋体" w:cs="宋体"/>
                <w:spacing w:val="-1"/>
                <w:kern w:val="2"/>
                <w:sz w:val="21"/>
                <w:szCs w:val="21"/>
              </w:rPr>
              <w:t>分</w:t>
            </w:r>
            <w:r>
              <w:rPr>
                <w:rFonts w:hint="eastAsia" w:ascii="宋体" w:hAnsi="宋体" w:eastAsia="宋体" w:cs="宋体"/>
                <w:kern w:val="2"/>
                <w:sz w:val="21"/>
                <w:szCs w:val="21"/>
              </w:rPr>
              <w:t>）</w:t>
            </w:r>
          </w:p>
        </w:tc>
        <w:tc>
          <w:tcPr>
            <w:tcW w:w="602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kern w:val="2"/>
                <w:sz w:val="21"/>
                <w:szCs w:val="21"/>
                <w:lang w:val="zh-CN" w:bidi="ar"/>
              </w:rPr>
            </w:pPr>
            <w:r>
              <w:rPr>
                <w:rFonts w:hint="eastAsia" w:ascii="宋体" w:hAnsi="宋体" w:eastAsia="宋体" w:cs="宋体"/>
                <w:kern w:val="2"/>
                <w:sz w:val="21"/>
                <w:szCs w:val="21"/>
                <w:lang w:val="zh-CN" w:bidi="ar"/>
              </w:rPr>
              <w:t>价格分采用低价优先法计算，即满足采购文件要求且最后报价最低的供应商的价格为磋商基准价，其价格分为满分。其他供应商的价格分统一按下列公式计算：磋商报价得分=(磋商基准价／最后磋商报价)×</w:t>
            </w:r>
            <w:r>
              <w:rPr>
                <w:rFonts w:hint="eastAsia" w:ascii="宋体" w:hAnsi="宋体" w:eastAsia="宋体" w:cs="宋体"/>
                <w:kern w:val="2"/>
                <w:sz w:val="21"/>
                <w:szCs w:val="21"/>
                <w:lang w:val="en-US" w:eastAsia="zh-CN" w:bidi="ar"/>
              </w:rPr>
              <w:t>1</w:t>
            </w:r>
            <w:r>
              <w:rPr>
                <w:rFonts w:hint="eastAsia" w:ascii="宋体" w:hAnsi="宋体" w:eastAsia="宋体" w:cs="宋体"/>
                <w:kern w:val="2"/>
                <w:sz w:val="21"/>
                <w:szCs w:val="21"/>
                <w:lang w:val="zh-CN" w:bidi="ar"/>
              </w:rPr>
              <w:t>0%×100</w:t>
            </w:r>
          </w:p>
        </w:tc>
        <w:tc>
          <w:tcPr>
            <w:tcW w:w="204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kern w:val="2"/>
                <w:sz w:val="21"/>
                <w:szCs w:val="21"/>
                <w:lang w:val="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blHeader/>
          <w:jc w:val="center"/>
        </w:trPr>
        <w:tc>
          <w:tcPr>
            <w:tcW w:w="1067"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商务</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部分</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w:t>
            </w:r>
            <w:r>
              <w:rPr>
                <w:rFonts w:hint="eastAsia" w:ascii="宋体" w:hAnsi="宋体" w:cs="宋体"/>
                <w:kern w:val="2"/>
                <w:sz w:val="21"/>
                <w:szCs w:val="21"/>
                <w:lang w:val="en-US" w:eastAsia="zh-CN"/>
              </w:rPr>
              <w:t>10</w:t>
            </w:r>
            <w:r>
              <w:rPr>
                <w:rFonts w:hint="eastAsia" w:ascii="宋体" w:hAnsi="宋体" w:eastAsia="宋体" w:cs="宋体"/>
                <w:kern w:val="2"/>
                <w:sz w:val="21"/>
                <w:szCs w:val="21"/>
              </w:rPr>
              <w:t>分</w:t>
            </w:r>
            <w:r>
              <w:rPr>
                <w:rFonts w:hint="eastAsia" w:ascii="宋体" w:hAnsi="宋体" w:eastAsia="宋体" w:cs="宋体"/>
                <w:kern w:val="2"/>
                <w:sz w:val="21"/>
                <w:szCs w:val="21"/>
                <w:lang w:val="en-US" w:eastAsia="zh-CN"/>
              </w:rPr>
              <w:t>）</w:t>
            </w:r>
          </w:p>
        </w:tc>
        <w:tc>
          <w:tcPr>
            <w:tcW w:w="1275" w:type="dxa"/>
            <w:tcBorders>
              <w:top w:val="single" w:color="auto" w:sz="4" w:space="0"/>
              <w:left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rPr>
            </w:pPr>
            <w:r>
              <w:rPr>
                <w:rFonts w:hint="eastAsia" w:ascii="宋体" w:hAnsi="宋体" w:eastAsia="宋体" w:cs="宋体"/>
                <w:spacing w:val="-1"/>
                <w:kern w:val="2"/>
                <w:sz w:val="21"/>
                <w:szCs w:val="21"/>
              </w:rPr>
              <w:t>业绩证明</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lang w:eastAsia="zh-CN"/>
              </w:rPr>
            </w:pPr>
            <w:r>
              <w:rPr>
                <w:rFonts w:hint="eastAsia" w:ascii="宋体" w:hAnsi="宋体" w:eastAsia="宋体" w:cs="宋体"/>
                <w:spacing w:val="-1"/>
                <w:kern w:val="2"/>
                <w:sz w:val="21"/>
                <w:szCs w:val="21"/>
                <w:lang w:eastAsia="zh-CN"/>
              </w:rPr>
              <w:t>（</w:t>
            </w:r>
            <w:r>
              <w:rPr>
                <w:rFonts w:hint="eastAsia" w:ascii="宋体" w:hAnsi="宋体" w:eastAsia="宋体" w:cs="宋体"/>
                <w:spacing w:val="-1"/>
                <w:kern w:val="2"/>
                <w:sz w:val="21"/>
                <w:szCs w:val="21"/>
                <w:lang w:val="en-US" w:eastAsia="zh-CN"/>
              </w:rPr>
              <w:t>8分</w:t>
            </w:r>
            <w:r>
              <w:rPr>
                <w:rFonts w:hint="eastAsia" w:ascii="宋体" w:hAnsi="宋体" w:eastAsia="宋体" w:cs="宋体"/>
                <w:spacing w:val="-1"/>
                <w:kern w:val="2"/>
                <w:sz w:val="21"/>
                <w:szCs w:val="21"/>
                <w:lang w:eastAsia="zh-CN"/>
              </w:rPr>
              <w:t>）</w:t>
            </w:r>
          </w:p>
        </w:tc>
        <w:tc>
          <w:tcPr>
            <w:tcW w:w="6022" w:type="dxa"/>
            <w:tcBorders>
              <w:top w:val="single" w:color="auto" w:sz="4" w:space="0"/>
              <w:left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lang w:val="zh-CN"/>
              </w:rPr>
            </w:pPr>
            <w:r>
              <w:rPr>
                <w:rFonts w:hint="eastAsia" w:ascii="宋体" w:hAnsi="宋体" w:eastAsia="宋体" w:cs="宋体"/>
                <w:spacing w:val="-1"/>
                <w:kern w:val="2"/>
                <w:sz w:val="21"/>
                <w:szCs w:val="21"/>
              </w:rPr>
              <w:t>供应商20</w:t>
            </w:r>
            <w:r>
              <w:rPr>
                <w:rFonts w:hint="eastAsia" w:ascii="宋体" w:hAnsi="宋体" w:cs="宋体"/>
                <w:spacing w:val="-1"/>
                <w:kern w:val="2"/>
                <w:sz w:val="21"/>
                <w:szCs w:val="21"/>
                <w:lang w:val="en-US" w:eastAsia="zh-CN"/>
              </w:rPr>
              <w:t>20</w:t>
            </w:r>
            <w:r>
              <w:rPr>
                <w:rFonts w:hint="eastAsia" w:ascii="宋体" w:hAnsi="宋体" w:eastAsia="宋体" w:cs="宋体"/>
                <w:spacing w:val="-1"/>
                <w:kern w:val="2"/>
                <w:sz w:val="21"/>
                <w:szCs w:val="21"/>
              </w:rPr>
              <w:t>年1月1日至今类似项目，每个得</w:t>
            </w:r>
            <w:r>
              <w:rPr>
                <w:rFonts w:hint="eastAsia" w:ascii="宋体" w:hAnsi="宋体" w:eastAsia="宋体" w:cs="宋体"/>
                <w:spacing w:val="-1"/>
                <w:kern w:val="2"/>
                <w:sz w:val="21"/>
                <w:szCs w:val="21"/>
                <w:lang w:val="en-US" w:eastAsia="zh-CN"/>
              </w:rPr>
              <w:t>2</w:t>
            </w:r>
            <w:r>
              <w:rPr>
                <w:rFonts w:hint="eastAsia" w:ascii="宋体" w:hAnsi="宋体" w:eastAsia="宋体" w:cs="宋体"/>
                <w:spacing w:val="-1"/>
                <w:kern w:val="2"/>
                <w:sz w:val="21"/>
                <w:szCs w:val="21"/>
              </w:rPr>
              <w:t>分，最高</w:t>
            </w:r>
            <w:r>
              <w:rPr>
                <w:rFonts w:hint="eastAsia" w:ascii="宋体" w:hAnsi="宋体" w:eastAsia="宋体" w:cs="宋体"/>
                <w:spacing w:val="-1"/>
                <w:kern w:val="2"/>
                <w:sz w:val="21"/>
                <w:szCs w:val="21"/>
                <w:lang w:val="en-US" w:eastAsia="zh-CN"/>
              </w:rPr>
              <w:t>8</w:t>
            </w:r>
            <w:r>
              <w:rPr>
                <w:rFonts w:hint="eastAsia" w:ascii="宋体" w:hAnsi="宋体" w:eastAsia="宋体" w:cs="宋体"/>
                <w:spacing w:val="-1"/>
                <w:kern w:val="2"/>
                <w:sz w:val="21"/>
                <w:szCs w:val="21"/>
              </w:rPr>
              <w:t>分（须提供合同复印件或其他佐证材料）</w:t>
            </w:r>
          </w:p>
        </w:tc>
        <w:tc>
          <w:tcPr>
            <w:tcW w:w="2048" w:type="dxa"/>
            <w:tcBorders>
              <w:top w:val="single" w:color="auto" w:sz="4" w:space="0"/>
              <w:left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1067" w:type="dxa"/>
            <w:vMerge w:val="continue"/>
            <w:tcBorders>
              <w:left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rPr>
            </w:pPr>
            <w:r>
              <w:rPr>
                <w:rFonts w:hint="eastAsia" w:ascii="宋体" w:hAnsi="宋体" w:eastAsia="宋体" w:cs="宋体"/>
                <w:spacing w:val="-1"/>
                <w:kern w:val="2"/>
                <w:sz w:val="21"/>
                <w:szCs w:val="21"/>
              </w:rPr>
              <w:t>用户评价</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lang w:val="en-US" w:eastAsia="zh-CN" w:bidi="ar-SA"/>
              </w:rPr>
            </w:pPr>
            <w:r>
              <w:rPr>
                <w:rFonts w:hint="eastAsia" w:ascii="宋体" w:hAnsi="宋体" w:eastAsia="宋体" w:cs="宋体"/>
                <w:spacing w:val="-1"/>
                <w:kern w:val="2"/>
                <w:sz w:val="21"/>
                <w:szCs w:val="21"/>
                <w:lang w:eastAsia="zh-CN"/>
              </w:rPr>
              <w:t>（</w:t>
            </w:r>
            <w:r>
              <w:rPr>
                <w:rFonts w:hint="eastAsia" w:ascii="宋体" w:hAnsi="宋体" w:eastAsia="宋体" w:cs="宋体"/>
                <w:spacing w:val="-1"/>
                <w:kern w:val="2"/>
                <w:sz w:val="21"/>
                <w:szCs w:val="21"/>
                <w:lang w:val="en-US" w:eastAsia="zh-CN"/>
              </w:rPr>
              <w:t>2分</w:t>
            </w:r>
            <w:r>
              <w:rPr>
                <w:rFonts w:hint="eastAsia" w:ascii="宋体" w:hAnsi="宋体" w:eastAsia="宋体" w:cs="宋体"/>
                <w:spacing w:val="-1"/>
                <w:kern w:val="2"/>
                <w:sz w:val="21"/>
                <w:szCs w:val="21"/>
                <w:lang w:eastAsia="zh-CN"/>
              </w:rPr>
              <w:t>）</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lang w:val="zh-CN" w:eastAsia="zh-CN" w:bidi="ar-SA"/>
              </w:rPr>
            </w:pPr>
            <w:r>
              <w:rPr>
                <w:rFonts w:hint="eastAsia" w:ascii="宋体" w:hAnsi="宋体" w:eastAsia="宋体" w:cs="宋体"/>
                <w:spacing w:val="-1"/>
                <w:kern w:val="2"/>
                <w:sz w:val="21"/>
                <w:szCs w:val="21"/>
              </w:rPr>
              <w:t>根据供应商提供服务过用户的正面评价进行打分，每提供1份用户正面评价得1分，满分</w:t>
            </w:r>
            <w:r>
              <w:rPr>
                <w:rFonts w:hint="eastAsia" w:ascii="宋体" w:hAnsi="宋体" w:eastAsia="宋体" w:cs="宋体"/>
                <w:spacing w:val="-1"/>
                <w:kern w:val="2"/>
                <w:sz w:val="21"/>
                <w:szCs w:val="21"/>
                <w:lang w:val="en-US" w:eastAsia="zh-CN"/>
              </w:rPr>
              <w:t>2</w:t>
            </w:r>
            <w:r>
              <w:rPr>
                <w:rFonts w:hint="eastAsia" w:ascii="宋体" w:hAnsi="宋体" w:eastAsia="宋体" w:cs="宋体"/>
                <w:spacing w:val="-1"/>
                <w:kern w:val="2"/>
                <w:sz w:val="21"/>
                <w:szCs w:val="21"/>
              </w:rPr>
              <w:t>分。未提供不得分。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tblHeader/>
          <w:jc w:val="center"/>
        </w:trPr>
        <w:tc>
          <w:tcPr>
            <w:tcW w:w="1067"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技术</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部分</w:t>
            </w:r>
          </w:p>
          <w:p>
            <w:pPr>
              <w:keepNext w:val="0"/>
              <w:keepLines w:val="0"/>
              <w:pageBreakBefore w:val="0"/>
              <w:widowControl w:val="0"/>
              <w:kinsoku w:val="0"/>
              <w:wordWrap/>
              <w:overflowPunct w:val="0"/>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w:t>
            </w:r>
            <w:r>
              <w:rPr>
                <w:rFonts w:hint="eastAsia" w:ascii="宋体" w:hAnsi="宋体" w:cs="宋体"/>
                <w:kern w:val="2"/>
                <w:sz w:val="21"/>
                <w:szCs w:val="21"/>
                <w:lang w:val="en-US" w:eastAsia="zh-CN"/>
              </w:rPr>
              <w:t>75</w:t>
            </w:r>
            <w:r>
              <w:rPr>
                <w:rFonts w:hint="eastAsia" w:ascii="宋体" w:hAnsi="宋体" w:eastAsia="宋体" w:cs="宋体"/>
                <w:kern w:val="2"/>
                <w:sz w:val="21"/>
                <w:szCs w:val="21"/>
              </w:rPr>
              <w:t>分)</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lang w:val="en-US" w:eastAsia="zh-CN"/>
              </w:rPr>
            </w:pPr>
            <w:r>
              <w:rPr>
                <w:rFonts w:hint="eastAsia" w:ascii="宋体" w:hAnsi="宋体" w:eastAsia="宋体" w:cs="宋体"/>
                <w:kern w:val="2"/>
                <w:sz w:val="21"/>
                <w:szCs w:val="21"/>
                <w:lang w:eastAsia="zh-CN"/>
              </w:rPr>
              <w:t>商务、技术服务要求（</w:t>
            </w:r>
            <w:r>
              <w:rPr>
                <w:rFonts w:hint="eastAsia" w:ascii="宋体" w:hAnsi="宋体" w:cs="宋体"/>
                <w:kern w:val="2"/>
                <w:sz w:val="21"/>
                <w:szCs w:val="21"/>
                <w:lang w:val="en-US" w:eastAsia="zh-CN"/>
              </w:rPr>
              <w:t>32</w:t>
            </w:r>
            <w:r>
              <w:rPr>
                <w:rFonts w:hint="eastAsia" w:ascii="宋体" w:hAnsi="宋体" w:eastAsia="宋体" w:cs="宋体"/>
                <w:spacing w:val="-1"/>
                <w:kern w:val="2"/>
                <w:sz w:val="21"/>
                <w:szCs w:val="21"/>
                <w:lang w:val="en-US" w:eastAsia="zh-CN"/>
              </w:rPr>
              <w:t>分</w:t>
            </w:r>
            <w:r>
              <w:rPr>
                <w:rFonts w:hint="eastAsia" w:ascii="宋体" w:hAnsi="宋体" w:eastAsia="宋体" w:cs="宋体"/>
                <w:kern w:val="2"/>
                <w:sz w:val="21"/>
                <w:szCs w:val="21"/>
                <w:lang w:eastAsia="zh-CN"/>
              </w:rPr>
              <w:t>）</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rPr>
              <w:t>根据</w:t>
            </w:r>
            <w:r>
              <w:rPr>
                <w:rFonts w:hint="eastAsia" w:ascii="宋体" w:hAnsi="宋体" w:eastAsia="宋体" w:cs="宋体"/>
                <w:sz w:val="21"/>
                <w:szCs w:val="21"/>
                <w:lang w:eastAsia="zh-CN"/>
              </w:rPr>
              <w:t>采购文件</w:t>
            </w:r>
            <w:r>
              <w:rPr>
                <w:rFonts w:hint="eastAsia" w:ascii="宋体" w:hAnsi="宋体" w:eastAsia="宋体" w:cs="宋体"/>
                <w:sz w:val="21"/>
                <w:szCs w:val="21"/>
              </w:rPr>
              <w:t>的</w:t>
            </w:r>
            <w:r>
              <w:rPr>
                <w:rFonts w:hint="eastAsia" w:ascii="宋体" w:hAnsi="宋体" w:eastAsia="宋体" w:cs="宋体"/>
                <w:sz w:val="21"/>
                <w:szCs w:val="21"/>
                <w:lang w:eastAsia="zh-CN"/>
              </w:rPr>
              <w:t>主要技术指标</w:t>
            </w:r>
            <w:r>
              <w:rPr>
                <w:rFonts w:hint="eastAsia" w:ascii="宋体" w:hAnsi="宋体" w:cs="宋体"/>
                <w:sz w:val="21"/>
                <w:szCs w:val="21"/>
                <w:lang w:eastAsia="zh-CN"/>
              </w:rPr>
              <w:t>中的</w:t>
            </w:r>
            <w:r>
              <w:rPr>
                <w:rFonts w:hint="eastAsia" w:ascii="宋体" w:hAnsi="宋体" w:cs="宋体"/>
                <w:sz w:val="21"/>
                <w:szCs w:val="21"/>
                <w:lang w:val="en-US" w:eastAsia="zh-CN"/>
              </w:rPr>
              <w:t>8个子项</w:t>
            </w:r>
            <w:r>
              <w:rPr>
                <w:rFonts w:hint="eastAsia" w:ascii="宋体" w:hAnsi="宋体" w:eastAsia="宋体" w:cs="宋体"/>
                <w:sz w:val="21"/>
                <w:szCs w:val="21"/>
                <w:lang w:eastAsia="zh-CN"/>
              </w:rPr>
              <w:t>要求</w:t>
            </w:r>
            <w:r>
              <w:rPr>
                <w:rFonts w:hint="eastAsia" w:ascii="宋体" w:hAnsi="宋体" w:eastAsia="宋体" w:cs="宋体"/>
                <w:sz w:val="21"/>
                <w:szCs w:val="21"/>
              </w:rPr>
              <w:t>逐条进行审核，</w:t>
            </w:r>
            <w:r>
              <w:rPr>
                <w:rFonts w:hint="eastAsia" w:ascii="宋体" w:hAnsi="宋体" w:cs="宋体"/>
                <w:sz w:val="21"/>
                <w:szCs w:val="21"/>
                <w:lang w:eastAsia="zh-CN"/>
              </w:rPr>
              <w:t>每满足一项得</w:t>
            </w:r>
            <w:r>
              <w:rPr>
                <w:rFonts w:hint="eastAsia" w:ascii="宋体" w:hAnsi="宋体" w:cs="宋体"/>
                <w:sz w:val="21"/>
                <w:szCs w:val="21"/>
                <w:lang w:val="en-US" w:eastAsia="zh-CN"/>
              </w:rPr>
              <w:t>4分，未满足不得分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tblHeader/>
          <w:jc w:val="center"/>
        </w:trPr>
        <w:tc>
          <w:tcPr>
            <w:tcW w:w="106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实施方案</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lang w:eastAsia="zh-CN"/>
              </w:rPr>
            </w:pPr>
            <w:r>
              <w:rPr>
                <w:rFonts w:hint="eastAsia" w:ascii="宋体" w:hAnsi="宋体" w:eastAsia="宋体" w:cs="宋体"/>
                <w:spacing w:val="-1"/>
                <w:kern w:val="2"/>
                <w:sz w:val="21"/>
                <w:szCs w:val="21"/>
                <w:lang w:eastAsia="zh-CN"/>
              </w:rPr>
              <w:t>（</w:t>
            </w:r>
            <w:r>
              <w:rPr>
                <w:rFonts w:hint="eastAsia" w:ascii="宋体" w:hAnsi="宋体" w:eastAsia="宋体" w:cs="宋体"/>
                <w:spacing w:val="-1"/>
                <w:kern w:val="2"/>
                <w:sz w:val="21"/>
                <w:szCs w:val="21"/>
              </w:rPr>
              <w:t>1</w:t>
            </w:r>
            <w:r>
              <w:rPr>
                <w:rFonts w:hint="eastAsia" w:ascii="宋体" w:hAnsi="宋体" w:cs="宋体"/>
                <w:spacing w:val="-1"/>
                <w:kern w:val="2"/>
                <w:sz w:val="21"/>
                <w:szCs w:val="21"/>
                <w:lang w:val="en-US" w:eastAsia="zh-CN"/>
              </w:rPr>
              <w:t>1</w:t>
            </w:r>
            <w:r>
              <w:rPr>
                <w:rFonts w:hint="eastAsia" w:ascii="宋体" w:hAnsi="宋体" w:eastAsia="宋体" w:cs="宋体"/>
                <w:spacing w:val="-1"/>
                <w:kern w:val="2"/>
                <w:sz w:val="21"/>
                <w:szCs w:val="21"/>
                <w:lang w:val="en-US" w:eastAsia="zh-CN"/>
              </w:rPr>
              <w:t>分</w:t>
            </w:r>
            <w:r>
              <w:rPr>
                <w:rFonts w:hint="eastAsia" w:ascii="宋体" w:hAnsi="宋体" w:eastAsia="宋体" w:cs="宋体"/>
                <w:spacing w:val="-1"/>
                <w:kern w:val="2"/>
                <w:sz w:val="21"/>
                <w:szCs w:val="21"/>
                <w:lang w:eastAsia="zh-CN"/>
              </w:rPr>
              <w:t>）</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r>
              <w:rPr>
                <w:rFonts w:hint="eastAsia" w:ascii="宋体" w:hAnsi="宋体" w:eastAsia="宋体" w:cs="宋体"/>
                <w:spacing w:val="-1"/>
                <w:kern w:val="2"/>
                <w:sz w:val="21"/>
                <w:szCs w:val="21"/>
              </w:rPr>
              <w:t>供应商根据采购文件的要求结合实际情况编制方案，根据方案的全面性、合理性、可行性等进行打分，方案科学合理、详尽全面、可行性强得</w:t>
            </w:r>
            <w:r>
              <w:rPr>
                <w:rFonts w:hint="eastAsia" w:ascii="宋体" w:hAnsi="宋体" w:cs="宋体"/>
                <w:spacing w:val="-1"/>
                <w:kern w:val="2"/>
                <w:sz w:val="21"/>
                <w:szCs w:val="21"/>
                <w:lang w:val="en-US" w:eastAsia="zh-CN"/>
              </w:rPr>
              <w:t>11</w:t>
            </w:r>
            <w:r>
              <w:rPr>
                <w:rFonts w:hint="eastAsia" w:ascii="宋体" w:hAnsi="宋体" w:eastAsia="宋体" w:cs="宋体"/>
                <w:spacing w:val="-1"/>
                <w:kern w:val="2"/>
                <w:sz w:val="21"/>
                <w:szCs w:val="21"/>
              </w:rPr>
              <w:t>分，方案</w:t>
            </w:r>
            <w:r>
              <w:rPr>
                <w:rFonts w:hint="eastAsia" w:ascii="宋体" w:hAnsi="宋体" w:eastAsia="宋体" w:cs="宋体"/>
                <w:spacing w:val="-1"/>
                <w:kern w:val="2"/>
                <w:sz w:val="21"/>
                <w:szCs w:val="21"/>
                <w:lang w:eastAsia="zh-CN"/>
              </w:rPr>
              <w:t>欠</w:t>
            </w:r>
            <w:r>
              <w:rPr>
                <w:rFonts w:hint="eastAsia" w:ascii="宋体" w:hAnsi="宋体" w:eastAsia="宋体" w:cs="宋体"/>
                <w:spacing w:val="-1"/>
                <w:kern w:val="2"/>
                <w:sz w:val="21"/>
                <w:szCs w:val="21"/>
              </w:rPr>
              <w:t>合理、全面、可行得</w:t>
            </w:r>
            <w:r>
              <w:rPr>
                <w:rFonts w:hint="eastAsia" w:ascii="宋体" w:hAnsi="宋体" w:cs="宋体"/>
                <w:spacing w:val="-1"/>
                <w:kern w:val="2"/>
                <w:sz w:val="21"/>
                <w:szCs w:val="21"/>
                <w:lang w:val="en-US" w:eastAsia="zh-CN"/>
              </w:rPr>
              <w:t>8</w:t>
            </w:r>
            <w:r>
              <w:rPr>
                <w:rFonts w:hint="eastAsia" w:ascii="宋体" w:hAnsi="宋体" w:eastAsia="宋体" w:cs="宋体"/>
                <w:spacing w:val="-1"/>
                <w:kern w:val="2"/>
                <w:sz w:val="21"/>
                <w:szCs w:val="21"/>
              </w:rPr>
              <w:t>分，方案有部分缺陷得</w:t>
            </w:r>
            <w:r>
              <w:rPr>
                <w:rFonts w:hint="eastAsia" w:ascii="宋体" w:hAnsi="宋体" w:eastAsia="宋体" w:cs="宋体"/>
                <w:spacing w:val="-1"/>
                <w:kern w:val="2"/>
                <w:sz w:val="21"/>
                <w:szCs w:val="21"/>
                <w:lang w:val="en-US" w:eastAsia="zh-CN"/>
              </w:rPr>
              <w:t>5</w:t>
            </w:r>
            <w:r>
              <w:rPr>
                <w:rFonts w:hint="eastAsia" w:ascii="宋体" w:hAnsi="宋体" w:eastAsia="宋体" w:cs="宋体"/>
                <w:spacing w:val="-1"/>
                <w:kern w:val="2"/>
                <w:sz w:val="21"/>
                <w:szCs w:val="21"/>
              </w:rPr>
              <w:t>分，不可行或未提供得0分。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blHeader/>
          <w:jc w:val="center"/>
        </w:trPr>
        <w:tc>
          <w:tcPr>
            <w:tcW w:w="106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rPr>
              <w:t>应急方案及验收方案</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lang w:val="en-US" w:eastAsia="zh-CN"/>
              </w:rPr>
            </w:pPr>
            <w:r>
              <w:rPr>
                <w:rFonts w:hint="eastAsia" w:ascii="宋体" w:hAnsi="宋体" w:eastAsia="宋体" w:cs="宋体"/>
                <w:spacing w:val="-1"/>
                <w:kern w:val="2"/>
                <w:sz w:val="21"/>
                <w:szCs w:val="21"/>
                <w:lang w:eastAsia="zh-CN"/>
              </w:rPr>
              <w:t>（</w:t>
            </w:r>
            <w:r>
              <w:rPr>
                <w:rFonts w:hint="eastAsia" w:ascii="宋体" w:hAnsi="宋体" w:cs="宋体"/>
                <w:spacing w:val="-1"/>
                <w:kern w:val="2"/>
                <w:sz w:val="21"/>
                <w:szCs w:val="21"/>
                <w:lang w:val="en-US" w:eastAsia="zh-CN"/>
              </w:rPr>
              <w:t>11</w:t>
            </w:r>
            <w:r>
              <w:rPr>
                <w:rFonts w:hint="eastAsia" w:ascii="宋体" w:hAnsi="宋体" w:eastAsia="宋体" w:cs="宋体"/>
                <w:spacing w:val="-1"/>
                <w:kern w:val="2"/>
                <w:sz w:val="21"/>
                <w:szCs w:val="21"/>
                <w:lang w:val="en-US" w:eastAsia="zh-CN"/>
              </w:rPr>
              <w:t>分</w:t>
            </w:r>
            <w:r>
              <w:rPr>
                <w:rFonts w:hint="eastAsia" w:ascii="宋体" w:hAnsi="宋体" w:eastAsia="宋体" w:cs="宋体"/>
                <w:spacing w:val="-1"/>
                <w:kern w:val="2"/>
                <w:sz w:val="21"/>
                <w:szCs w:val="21"/>
                <w:lang w:eastAsia="zh-CN"/>
              </w:rPr>
              <w:t>）</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r>
              <w:rPr>
                <w:rFonts w:hint="eastAsia" w:ascii="宋体" w:hAnsi="宋体" w:eastAsia="宋体" w:cs="宋体"/>
                <w:spacing w:val="-1"/>
                <w:kern w:val="2"/>
                <w:sz w:val="21"/>
                <w:szCs w:val="21"/>
              </w:rPr>
              <w:t>方案科学合理、详尽全面、可行性强得</w:t>
            </w:r>
            <w:r>
              <w:rPr>
                <w:rFonts w:hint="eastAsia" w:ascii="宋体" w:hAnsi="宋体" w:cs="宋体"/>
                <w:spacing w:val="-1"/>
                <w:kern w:val="2"/>
                <w:sz w:val="21"/>
                <w:szCs w:val="21"/>
                <w:lang w:val="en-US" w:eastAsia="zh-CN"/>
              </w:rPr>
              <w:t>11</w:t>
            </w:r>
            <w:r>
              <w:rPr>
                <w:rFonts w:hint="eastAsia" w:ascii="宋体" w:hAnsi="宋体" w:eastAsia="宋体" w:cs="宋体"/>
                <w:spacing w:val="-1"/>
                <w:kern w:val="2"/>
                <w:sz w:val="21"/>
                <w:szCs w:val="21"/>
              </w:rPr>
              <w:t>分，方案合理、全面、可行得</w:t>
            </w:r>
            <w:r>
              <w:rPr>
                <w:rFonts w:hint="eastAsia" w:ascii="宋体" w:hAnsi="宋体" w:cs="宋体"/>
                <w:spacing w:val="-1"/>
                <w:kern w:val="2"/>
                <w:sz w:val="21"/>
                <w:szCs w:val="21"/>
                <w:lang w:val="en-US" w:eastAsia="zh-CN"/>
              </w:rPr>
              <w:t>8</w:t>
            </w:r>
            <w:r>
              <w:rPr>
                <w:rFonts w:hint="eastAsia" w:ascii="宋体" w:hAnsi="宋体" w:eastAsia="宋体" w:cs="宋体"/>
                <w:spacing w:val="-1"/>
                <w:kern w:val="2"/>
                <w:sz w:val="21"/>
                <w:szCs w:val="21"/>
              </w:rPr>
              <w:t>分，方案有部分缺陷得</w:t>
            </w:r>
            <w:r>
              <w:rPr>
                <w:rFonts w:hint="eastAsia" w:ascii="宋体" w:hAnsi="宋体" w:eastAsia="宋体" w:cs="宋体"/>
                <w:spacing w:val="-1"/>
                <w:kern w:val="2"/>
                <w:sz w:val="21"/>
                <w:szCs w:val="21"/>
                <w:lang w:val="en-US" w:eastAsia="zh-CN"/>
              </w:rPr>
              <w:t>5</w:t>
            </w:r>
            <w:r>
              <w:rPr>
                <w:rFonts w:hint="eastAsia" w:ascii="宋体" w:hAnsi="宋体" w:eastAsia="宋体" w:cs="宋体"/>
                <w:spacing w:val="-1"/>
                <w:kern w:val="2"/>
                <w:sz w:val="21"/>
                <w:szCs w:val="21"/>
              </w:rPr>
              <w:t>分，不可行或未提供得0分。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blHeader/>
          <w:jc w:val="center"/>
        </w:trPr>
        <w:tc>
          <w:tcPr>
            <w:tcW w:w="106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培训方案</w:t>
            </w:r>
          </w:p>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spacing w:val="-1"/>
                <w:kern w:val="2"/>
                <w:sz w:val="21"/>
                <w:szCs w:val="21"/>
                <w:lang w:val="en-US" w:eastAsia="zh-CN"/>
              </w:rPr>
            </w:pPr>
            <w:r>
              <w:rPr>
                <w:rFonts w:hint="eastAsia" w:ascii="宋体" w:hAnsi="宋体" w:cs="宋体"/>
                <w:spacing w:val="-1"/>
                <w:kern w:val="2"/>
                <w:sz w:val="21"/>
                <w:szCs w:val="21"/>
                <w:lang w:val="en-US" w:eastAsia="zh-CN"/>
              </w:rPr>
              <w:t>(11</w:t>
            </w:r>
            <w:r>
              <w:rPr>
                <w:rFonts w:hint="eastAsia" w:ascii="宋体" w:hAnsi="宋体" w:eastAsia="宋体" w:cs="宋体"/>
                <w:spacing w:val="-1"/>
                <w:kern w:val="2"/>
                <w:sz w:val="21"/>
                <w:szCs w:val="21"/>
                <w:lang w:val="en-US" w:eastAsia="zh-CN"/>
              </w:rPr>
              <w:t>分）</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r>
              <w:rPr>
                <w:rFonts w:hint="eastAsia" w:ascii="宋体" w:hAnsi="宋体" w:eastAsia="宋体" w:cs="宋体"/>
                <w:spacing w:val="-1"/>
                <w:kern w:val="2"/>
                <w:sz w:val="21"/>
                <w:szCs w:val="21"/>
              </w:rPr>
              <w:t>方案科学合理、详尽全面、可行性强得</w:t>
            </w:r>
            <w:r>
              <w:rPr>
                <w:rFonts w:hint="eastAsia" w:ascii="宋体" w:hAnsi="宋体" w:cs="宋体"/>
                <w:spacing w:val="-1"/>
                <w:kern w:val="2"/>
                <w:sz w:val="21"/>
                <w:szCs w:val="21"/>
                <w:lang w:val="en-US" w:eastAsia="zh-CN"/>
              </w:rPr>
              <w:t>11</w:t>
            </w:r>
            <w:r>
              <w:rPr>
                <w:rFonts w:hint="eastAsia" w:ascii="宋体" w:hAnsi="宋体" w:eastAsia="宋体" w:cs="宋体"/>
                <w:spacing w:val="-1"/>
                <w:kern w:val="2"/>
                <w:sz w:val="21"/>
                <w:szCs w:val="21"/>
              </w:rPr>
              <w:t>分，方案合理、全面、可行得</w:t>
            </w:r>
            <w:r>
              <w:rPr>
                <w:rFonts w:hint="eastAsia" w:ascii="宋体" w:hAnsi="宋体" w:cs="宋体"/>
                <w:spacing w:val="-1"/>
                <w:kern w:val="2"/>
                <w:sz w:val="21"/>
                <w:szCs w:val="21"/>
                <w:lang w:val="en-US" w:eastAsia="zh-CN"/>
              </w:rPr>
              <w:t>8</w:t>
            </w:r>
            <w:r>
              <w:rPr>
                <w:rFonts w:hint="eastAsia" w:ascii="宋体" w:hAnsi="宋体" w:eastAsia="宋体" w:cs="宋体"/>
                <w:spacing w:val="-1"/>
                <w:kern w:val="2"/>
                <w:sz w:val="21"/>
                <w:szCs w:val="21"/>
              </w:rPr>
              <w:t>分，方案有部分缺陷得</w:t>
            </w:r>
            <w:r>
              <w:rPr>
                <w:rFonts w:hint="eastAsia" w:ascii="宋体" w:hAnsi="宋体" w:cs="宋体"/>
                <w:spacing w:val="-1"/>
                <w:kern w:val="2"/>
                <w:sz w:val="21"/>
                <w:szCs w:val="21"/>
                <w:lang w:val="en-US" w:eastAsia="zh-CN"/>
              </w:rPr>
              <w:t>5</w:t>
            </w:r>
            <w:r>
              <w:rPr>
                <w:rFonts w:hint="eastAsia" w:ascii="宋体" w:hAnsi="宋体" w:eastAsia="宋体" w:cs="宋体"/>
                <w:spacing w:val="-1"/>
                <w:kern w:val="2"/>
                <w:sz w:val="21"/>
                <w:szCs w:val="21"/>
              </w:rPr>
              <w:t>分，不可行或未提供得0分。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both"/>
              <w:textAlignment w:val="auto"/>
              <w:rPr>
                <w:rFonts w:hint="eastAsia" w:ascii="宋体" w:hAnsi="宋体" w:eastAsia="宋体" w:cs="宋体"/>
                <w:spacing w:val="-1"/>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9" w:hRule="atLeast"/>
          <w:tblHeader/>
          <w:jc w:val="center"/>
        </w:trPr>
        <w:tc>
          <w:tcPr>
            <w:tcW w:w="106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after="0" w:line="300" w:lineRule="exact"/>
              <w:ind w:left="0"/>
              <w:jc w:val="center"/>
              <w:textAlignment w:val="auto"/>
              <w:rPr>
                <w:rFonts w:hint="eastAsia" w:ascii="宋体" w:hAnsi="宋体" w:eastAsia="宋体" w:cs="宋体"/>
                <w:color w:val="FF0000"/>
                <w:kern w:val="2"/>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line="300" w:lineRule="exact"/>
              <w:ind w:left="0"/>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售后</w:t>
            </w:r>
          </w:p>
          <w:p>
            <w:pPr>
              <w:keepNext w:val="0"/>
              <w:keepLines w:val="0"/>
              <w:pageBreakBefore w:val="0"/>
              <w:widowControl w:val="0"/>
              <w:wordWrap/>
              <w:topLinePunct w:val="0"/>
              <w:autoSpaceDE/>
              <w:autoSpaceDN/>
              <w:bidi w:val="0"/>
              <w:adjustRightInd/>
              <w:snapToGrid/>
              <w:spacing w:line="300" w:lineRule="exact"/>
              <w:ind w:left="0"/>
              <w:jc w:val="center"/>
              <w:textAlignment w:val="auto"/>
              <w:rPr>
                <w:rFonts w:hint="eastAsia" w:ascii="宋体" w:hAnsi="宋体" w:eastAsia="宋体" w:cs="宋体"/>
                <w:spacing w:val="-1"/>
                <w:kern w:val="2"/>
                <w:sz w:val="21"/>
                <w:szCs w:val="21"/>
              </w:rPr>
            </w:pPr>
            <w:r>
              <w:rPr>
                <w:rFonts w:hint="eastAsia" w:ascii="宋体" w:hAnsi="宋体" w:eastAsia="宋体" w:cs="宋体"/>
                <w:color w:val="000000"/>
                <w:sz w:val="21"/>
                <w:szCs w:val="21"/>
              </w:rPr>
              <w:t>服务方案</w:t>
            </w:r>
          </w:p>
          <w:p>
            <w:pPr>
              <w:keepNext w:val="0"/>
              <w:keepLines w:val="0"/>
              <w:pageBreakBefore w:val="0"/>
              <w:widowControl w:val="0"/>
              <w:wordWrap/>
              <w:topLinePunct w:val="0"/>
              <w:autoSpaceDE/>
              <w:autoSpaceDN/>
              <w:bidi w:val="0"/>
              <w:adjustRightInd/>
              <w:snapToGrid/>
              <w:spacing w:line="300" w:lineRule="exact"/>
              <w:ind w:left="0"/>
              <w:jc w:val="center"/>
              <w:textAlignment w:val="auto"/>
              <w:rPr>
                <w:rFonts w:hint="eastAsia" w:ascii="宋体" w:hAnsi="宋体" w:eastAsia="宋体" w:cs="宋体"/>
                <w:spacing w:val="-1"/>
                <w:kern w:val="2"/>
                <w:sz w:val="21"/>
                <w:szCs w:val="21"/>
                <w:lang w:val="en-US" w:eastAsia="zh-CN"/>
              </w:rPr>
            </w:pPr>
            <w:r>
              <w:rPr>
                <w:rFonts w:hint="eastAsia" w:ascii="宋体" w:hAnsi="宋体" w:eastAsia="宋体" w:cs="宋体"/>
                <w:color w:val="000000"/>
                <w:sz w:val="21"/>
                <w:szCs w:val="21"/>
                <w:lang w:val="en-US" w:eastAsia="zh-CN"/>
              </w:rPr>
              <w:t>（10分）</w:t>
            </w:r>
          </w:p>
        </w:tc>
        <w:tc>
          <w:tcPr>
            <w:tcW w:w="60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line="300" w:lineRule="exact"/>
              <w:ind w:left="0"/>
              <w:jc w:val="both"/>
              <w:textAlignment w:val="auto"/>
              <w:rPr>
                <w:rFonts w:hint="eastAsia" w:ascii="宋体" w:hAnsi="宋体" w:eastAsia="宋体" w:cs="宋体"/>
                <w:spacing w:val="-1"/>
                <w:kern w:val="2"/>
                <w:sz w:val="21"/>
                <w:szCs w:val="21"/>
                <w:lang w:val="zh-CN"/>
              </w:rPr>
            </w:pPr>
            <w:r>
              <w:rPr>
                <w:rFonts w:hint="eastAsia" w:ascii="宋体" w:hAnsi="宋体" w:eastAsia="宋体" w:cs="宋体"/>
                <w:spacing w:val="-1"/>
                <w:kern w:val="2"/>
                <w:sz w:val="21"/>
                <w:szCs w:val="21"/>
              </w:rPr>
              <w:t>根据供应商提供的售后服务方案，包括但不限于以下内容进行评分：服务标准、服务流程、服务内容、响应时间、应急措施等，</w:t>
            </w:r>
            <w:r>
              <w:rPr>
                <w:rFonts w:hint="eastAsia" w:ascii="宋体" w:hAnsi="宋体" w:eastAsia="宋体" w:cs="宋体"/>
                <w:spacing w:val="-1"/>
                <w:kern w:val="2"/>
                <w:sz w:val="21"/>
                <w:szCs w:val="21"/>
                <w:lang w:eastAsia="zh-CN"/>
              </w:rPr>
              <w:t>内容具体详细、方案先进、组织实施措施完善、科学合理，符合本项目的所有要求得</w:t>
            </w:r>
            <w:r>
              <w:rPr>
                <w:rFonts w:hint="eastAsia" w:ascii="宋体" w:hAnsi="宋体" w:eastAsia="宋体" w:cs="宋体"/>
                <w:spacing w:val="-1"/>
                <w:kern w:val="2"/>
                <w:sz w:val="21"/>
                <w:szCs w:val="21"/>
                <w:lang w:val="en-US" w:eastAsia="zh-CN"/>
              </w:rPr>
              <w:t>10分；内容具体详细基本完备，基本符合本项目的要求得7分；内容稍有欠缺，部分符合本项目的要求得3分；未提供或与本项目明显不符的</w:t>
            </w:r>
            <w:bookmarkStart w:id="1" w:name="_GoBack"/>
            <w:bookmarkEnd w:id="1"/>
            <w:r>
              <w:rPr>
                <w:rFonts w:hint="eastAsia" w:ascii="宋体" w:hAnsi="宋体" w:eastAsia="宋体" w:cs="宋体"/>
                <w:spacing w:val="-1"/>
                <w:kern w:val="2"/>
                <w:sz w:val="21"/>
                <w:szCs w:val="21"/>
                <w:lang w:val="en-US" w:eastAsia="zh-CN"/>
              </w:rPr>
              <w:t>不得分。</w:t>
            </w:r>
            <w:r>
              <w:rPr>
                <w:rFonts w:hint="eastAsia" w:ascii="宋体" w:hAnsi="宋体" w:eastAsia="宋体" w:cs="宋体"/>
                <w:spacing w:val="-1"/>
                <w:kern w:val="2"/>
                <w:sz w:val="21"/>
                <w:szCs w:val="21"/>
              </w:rPr>
              <w:t>未提供售后服务方案不得分。</w:t>
            </w:r>
          </w:p>
        </w:tc>
        <w:tc>
          <w:tcPr>
            <w:tcW w:w="20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autoSpaceDE/>
              <w:autoSpaceDN/>
              <w:bidi w:val="0"/>
              <w:adjustRightInd/>
              <w:snapToGrid/>
              <w:spacing w:line="300" w:lineRule="exact"/>
              <w:ind w:left="0"/>
              <w:jc w:val="both"/>
              <w:textAlignment w:val="auto"/>
              <w:rPr>
                <w:rFonts w:hint="eastAsia" w:ascii="宋体" w:hAnsi="宋体" w:eastAsia="宋体" w:cs="宋体"/>
                <w:spacing w:val="-1"/>
                <w:kern w:val="2"/>
                <w:sz w:val="21"/>
                <w:szCs w:val="21"/>
              </w:rPr>
            </w:pPr>
          </w:p>
        </w:tc>
      </w:tr>
    </w:tbl>
    <w:p>
      <w:pPr>
        <w:ind w:firstLine="640" w:firstLineChars="200"/>
        <w:rPr>
          <w:rFonts w:ascii="仿宋" w:hAnsi="仿宋" w:eastAsia="仿宋"/>
          <w:sz w:val="32"/>
          <w:szCs w:val="32"/>
          <w:lang w:eastAsia="zh-CN"/>
        </w:rPr>
      </w:pPr>
      <w:r>
        <w:rPr>
          <w:rFonts w:hint="eastAsia" w:ascii="仿宋" w:hAnsi="仿宋" w:eastAsia="仿宋"/>
          <w:sz w:val="32"/>
          <w:szCs w:val="32"/>
          <w:lang w:eastAsia="zh-CN"/>
        </w:rPr>
        <w:t>四、评分表</w:t>
      </w:r>
      <w:r>
        <w:rPr>
          <w:rFonts w:hint="eastAsia" w:ascii="仿宋" w:hAnsi="仿宋" w:eastAsia="仿宋"/>
          <w:sz w:val="32"/>
          <w:szCs w:val="32"/>
          <w:lang w:eastAsia="zh-CN"/>
        </w:rPr>
        <w:br w:type="page"/>
      </w:r>
      <w:bookmarkEnd w:id="0"/>
    </w:p>
    <w:p>
      <w:pPr>
        <w:pStyle w:val="6"/>
        <w:sectPr>
          <w:footerReference r:id="rId3" w:type="default"/>
          <w:pgSz w:w="11906" w:h="16838"/>
          <w:pgMar w:top="1440" w:right="1800" w:bottom="1440" w:left="1800" w:header="851" w:footer="992" w:gutter="0"/>
          <w:cols w:space="425" w:num="1"/>
          <w:docGrid w:type="lines" w:linePitch="312" w:charSpace="0"/>
        </w:sectPr>
      </w:pPr>
    </w:p>
    <w:p>
      <w:pPr>
        <w:pStyle w:val="2"/>
        <w:rPr>
          <w:rFonts w:hint="eastAsia"/>
        </w:rPr>
      </w:pPr>
    </w:p>
    <w:p>
      <w:pPr>
        <w:pStyle w:val="2"/>
        <w:rPr>
          <w:rFonts w:hint="eastAsia"/>
        </w:rPr>
      </w:pPr>
    </w:p>
    <w:p>
      <w:pPr>
        <w:spacing w:line="360" w:lineRule="auto"/>
        <w:jc w:val="center"/>
        <w:rPr>
          <w:rFonts w:ascii="宋体" w:hAnsi="宋体"/>
          <w:b/>
          <w:sz w:val="32"/>
        </w:rPr>
      </w:pPr>
      <w:r>
        <w:rPr>
          <w:rFonts w:hint="eastAsia" w:ascii="宋体" w:hAnsi="宋体"/>
          <w:b/>
          <w:sz w:val="32"/>
        </w:rPr>
        <w:t>技术规格和商务偏离表</w:t>
      </w:r>
    </w:p>
    <w:p>
      <w:pPr>
        <w:spacing w:line="360" w:lineRule="auto"/>
        <w:rPr>
          <w:rFonts w:ascii="宋体" w:hAnsi="宋体"/>
          <w:bCs/>
          <w:sz w:val="24"/>
          <w:u w:val="single"/>
        </w:rPr>
      </w:pPr>
      <w:r>
        <w:rPr>
          <w:rFonts w:hint="eastAsia" w:ascii="宋体" w:hAnsi="宋体"/>
          <w:bCs/>
          <w:sz w:val="24"/>
        </w:rPr>
        <w:t>报价人名称（全程并加盖公章）：</w:t>
      </w:r>
      <w:r>
        <w:rPr>
          <w:rFonts w:hint="eastAsia" w:ascii="宋体" w:hAnsi="宋体"/>
          <w:bCs/>
          <w:sz w:val="24"/>
          <w:u w:val="single"/>
        </w:rPr>
        <w:t xml:space="preserve">                  </w:t>
      </w:r>
      <w:r>
        <w:rPr>
          <w:rFonts w:hint="eastAsia" w:ascii="宋体" w:hAnsi="宋体"/>
          <w:bCs/>
          <w:sz w:val="24"/>
        </w:rPr>
        <w:t>项目编号：</w:t>
      </w:r>
      <w:r>
        <w:rPr>
          <w:rFonts w:hint="eastAsia" w:ascii="宋体" w:hAnsi="宋体"/>
          <w:bCs/>
          <w:sz w:val="24"/>
          <w:u w:val="single"/>
        </w:rPr>
        <w:t xml:space="preserve">      </w:t>
      </w:r>
    </w:p>
    <w:tbl>
      <w:tblPr>
        <w:tblStyle w:val="10"/>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440"/>
        <w:gridCol w:w="1800"/>
        <w:gridCol w:w="2340"/>
        <w:gridCol w:w="2880"/>
        <w:gridCol w:w="1386"/>
        <w:gridCol w:w="3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6480"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采购文件要求</w:t>
            </w:r>
          </w:p>
        </w:tc>
        <w:tc>
          <w:tcPr>
            <w:tcW w:w="810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谈判响应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90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18"/>
                <w:szCs w:val="18"/>
              </w:rPr>
            </w:pPr>
            <w:r>
              <w:rPr>
                <w:rFonts w:hint="eastAsia" w:ascii="宋体" w:hAnsi="宋体"/>
                <w:sz w:val="18"/>
                <w:szCs w:val="18"/>
              </w:rPr>
              <w:t>合同包/品目号</w:t>
            </w:r>
          </w:p>
        </w:tc>
        <w:tc>
          <w:tcPr>
            <w:tcW w:w="1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货物名称</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规格条目号</w:t>
            </w:r>
          </w:p>
        </w:tc>
        <w:tc>
          <w:tcPr>
            <w:tcW w:w="23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采购文件要求</w:t>
            </w:r>
          </w:p>
        </w:tc>
        <w:tc>
          <w:tcPr>
            <w:tcW w:w="28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谈判响应情况</w:t>
            </w:r>
          </w:p>
        </w:tc>
        <w:tc>
          <w:tcPr>
            <w:tcW w:w="138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18"/>
                <w:szCs w:val="18"/>
              </w:rPr>
            </w:pPr>
            <w:r>
              <w:rPr>
                <w:rFonts w:hint="eastAsia" w:ascii="宋体" w:hAnsi="宋体"/>
                <w:sz w:val="18"/>
                <w:szCs w:val="18"/>
              </w:rPr>
              <w:t>谈判响应对应的页码</w:t>
            </w:r>
          </w:p>
        </w:tc>
        <w:tc>
          <w:tcPr>
            <w:tcW w:w="3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bl>
    <w:p>
      <w:pPr>
        <w:spacing w:line="360" w:lineRule="auto"/>
        <w:rPr>
          <w:rFonts w:ascii="宋体" w:hAnsi="宋体"/>
          <w:bCs/>
          <w:sz w:val="24"/>
        </w:rPr>
      </w:pPr>
      <w:r>
        <w:rPr>
          <w:rFonts w:hint="eastAsia" w:ascii="宋体" w:hAnsi="宋体"/>
          <w:bCs/>
          <w:sz w:val="24"/>
        </w:rPr>
        <w:t>注：1.报价人根据采购要求逐条说明谈判响应情况。</w:t>
      </w:r>
    </w:p>
    <w:p>
      <w:pPr>
        <w:spacing w:line="360" w:lineRule="auto"/>
        <w:ind w:firstLine="480" w:firstLineChars="200"/>
        <w:rPr>
          <w:rFonts w:ascii="宋体" w:hAnsi="宋体"/>
          <w:bCs/>
          <w:sz w:val="24"/>
        </w:rPr>
      </w:pPr>
      <w:r>
        <w:rPr>
          <w:rFonts w:hint="eastAsia" w:ascii="宋体" w:hAnsi="宋体"/>
          <w:bCs/>
          <w:sz w:val="24"/>
        </w:rPr>
        <w:t>2.</w:t>
      </w:r>
      <w:r>
        <w:rPr>
          <w:rFonts w:hint="eastAsia" w:ascii="宋体" w:hAnsi="宋体"/>
          <w:sz w:val="24"/>
        </w:rPr>
        <w:t xml:space="preserve"> 报价</w:t>
      </w:r>
      <w:r>
        <w:rPr>
          <w:rFonts w:hint="eastAsia" w:ascii="宋体" w:hAnsi="宋体" w:cs="宋体"/>
          <w:kern w:val="0"/>
          <w:sz w:val="24"/>
          <w:szCs w:val="24"/>
        </w:rPr>
        <w:t>人应对采购文件中的“*”号条款进行逐条响应，否则评审专家对其报价做出不利评审，报价人必须自行承担责任</w:t>
      </w:r>
      <w:r>
        <w:rPr>
          <w:rFonts w:hint="eastAsia" w:ascii="宋体" w:hAnsi="宋体"/>
          <w:bCs/>
          <w:sz w:val="24"/>
        </w:rPr>
        <w:t>。报价人存在弄虚作假行为的，将依法承担响应的法律责任。</w:t>
      </w:r>
    </w:p>
    <w:p>
      <w:pPr>
        <w:spacing w:line="360" w:lineRule="auto"/>
        <w:jc w:val="center"/>
        <w:rPr>
          <w:rFonts w:ascii="宋体" w:hAnsi="宋体"/>
          <w:bCs/>
          <w:sz w:val="24"/>
        </w:rPr>
      </w:pPr>
    </w:p>
    <w:p>
      <w:pPr>
        <w:spacing w:line="360" w:lineRule="auto"/>
        <w:rPr>
          <w:rFonts w:ascii="宋体" w:hAnsi="宋体"/>
          <w:sz w:val="24"/>
        </w:rPr>
        <w:sectPr>
          <w:pgSz w:w="16838" w:h="11906" w:orient="landscape"/>
          <w:pgMar w:top="1797" w:right="1440" w:bottom="1797" w:left="1440" w:header="851" w:footer="992" w:gutter="0"/>
          <w:cols w:space="720" w:num="1"/>
          <w:docGrid w:linePitch="312" w:charSpace="0"/>
        </w:sectPr>
      </w:pPr>
      <w:r>
        <w:rPr>
          <w:rFonts w:hint="eastAsia" w:ascii="宋体" w:hAnsi="宋体"/>
          <w:bCs/>
          <w:sz w:val="24"/>
        </w:rPr>
        <w:t xml:space="preserve"> 报价人代表签字：</w:t>
      </w:r>
      <w:r>
        <w:rPr>
          <w:rFonts w:hint="eastAsia" w:ascii="宋体" w:hAnsi="宋体"/>
          <w:bCs/>
          <w:sz w:val="24"/>
          <w:u w:val="single"/>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Qtk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hRDOFhp9+fD/9&#10;fDj9+kbG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ztC2T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D55CC9"/>
    <w:multiLevelType w:val="multilevel"/>
    <w:tmpl w:val="62D55CC9"/>
    <w:lvl w:ilvl="0" w:tentative="0">
      <w:start w:val="1"/>
      <w:numFmt w:val="decimal"/>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5"/>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2AD3173F"/>
    <w:rsid w:val="000B5420"/>
    <w:rsid w:val="001C620D"/>
    <w:rsid w:val="001F4439"/>
    <w:rsid w:val="00281EFA"/>
    <w:rsid w:val="0030486F"/>
    <w:rsid w:val="004915DE"/>
    <w:rsid w:val="00496EF9"/>
    <w:rsid w:val="005309F4"/>
    <w:rsid w:val="006B66D2"/>
    <w:rsid w:val="007A47A8"/>
    <w:rsid w:val="007D07F4"/>
    <w:rsid w:val="007E2D55"/>
    <w:rsid w:val="0080215F"/>
    <w:rsid w:val="00822BFE"/>
    <w:rsid w:val="00885C5B"/>
    <w:rsid w:val="00A7468B"/>
    <w:rsid w:val="00AB7141"/>
    <w:rsid w:val="00B952B1"/>
    <w:rsid w:val="00BB2714"/>
    <w:rsid w:val="00BD75A8"/>
    <w:rsid w:val="00BE4038"/>
    <w:rsid w:val="00BF4164"/>
    <w:rsid w:val="00C40BFC"/>
    <w:rsid w:val="00CB4D25"/>
    <w:rsid w:val="00E4116E"/>
    <w:rsid w:val="00E60F1F"/>
    <w:rsid w:val="00F27083"/>
    <w:rsid w:val="00F83F86"/>
    <w:rsid w:val="00FA1B75"/>
    <w:rsid w:val="00FB036A"/>
    <w:rsid w:val="01DA23AF"/>
    <w:rsid w:val="03836A76"/>
    <w:rsid w:val="04D72BD5"/>
    <w:rsid w:val="068154EF"/>
    <w:rsid w:val="07762B7A"/>
    <w:rsid w:val="085673C3"/>
    <w:rsid w:val="08A400E0"/>
    <w:rsid w:val="09BF540F"/>
    <w:rsid w:val="0B7F2538"/>
    <w:rsid w:val="0BCB36FB"/>
    <w:rsid w:val="0D3050BA"/>
    <w:rsid w:val="0ED4462A"/>
    <w:rsid w:val="0F704352"/>
    <w:rsid w:val="10D012C8"/>
    <w:rsid w:val="110F2AC8"/>
    <w:rsid w:val="150957FF"/>
    <w:rsid w:val="158C17BA"/>
    <w:rsid w:val="15D46BD0"/>
    <w:rsid w:val="18BE3CDD"/>
    <w:rsid w:val="18C354F3"/>
    <w:rsid w:val="19500BF6"/>
    <w:rsid w:val="1A745694"/>
    <w:rsid w:val="1B544B28"/>
    <w:rsid w:val="1B6D5BEA"/>
    <w:rsid w:val="1BEC1765"/>
    <w:rsid w:val="1CB02A05"/>
    <w:rsid w:val="1DA13912"/>
    <w:rsid w:val="1E0D56D6"/>
    <w:rsid w:val="1E7337F8"/>
    <w:rsid w:val="1EE1557E"/>
    <w:rsid w:val="208539D6"/>
    <w:rsid w:val="210B129B"/>
    <w:rsid w:val="211D59BC"/>
    <w:rsid w:val="243600E0"/>
    <w:rsid w:val="245142FB"/>
    <w:rsid w:val="24EF141E"/>
    <w:rsid w:val="264F6618"/>
    <w:rsid w:val="2AD3173F"/>
    <w:rsid w:val="2C043A01"/>
    <w:rsid w:val="2CD07429"/>
    <w:rsid w:val="2D0924D8"/>
    <w:rsid w:val="2E5C3FC8"/>
    <w:rsid w:val="2EBC48D4"/>
    <w:rsid w:val="3115045E"/>
    <w:rsid w:val="33FD7EEC"/>
    <w:rsid w:val="3620417B"/>
    <w:rsid w:val="370C5FAB"/>
    <w:rsid w:val="3A63681B"/>
    <w:rsid w:val="3C3E2F5F"/>
    <w:rsid w:val="3D9C280C"/>
    <w:rsid w:val="3F6C393F"/>
    <w:rsid w:val="451560BB"/>
    <w:rsid w:val="47436B76"/>
    <w:rsid w:val="48063426"/>
    <w:rsid w:val="48943F06"/>
    <w:rsid w:val="4B4E2A92"/>
    <w:rsid w:val="4B833D7E"/>
    <w:rsid w:val="4CCB05BE"/>
    <w:rsid w:val="4D2E62F6"/>
    <w:rsid w:val="4E0336C0"/>
    <w:rsid w:val="4E9C3B15"/>
    <w:rsid w:val="4ED26B0B"/>
    <w:rsid w:val="4F277882"/>
    <w:rsid w:val="4F750567"/>
    <w:rsid w:val="4F9273F2"/>
    <w:rsid w:val="4FAB2261"/>
    <w:rsid w:val="500068AD"/>
    <w:rsid w:val="50996F98"/>
    <w:rsid w:val="50DB6B76"/>
    <w:rsid w:val="525E220E"/>
    <w:rsid w:val="528A1DDF"/>
    <w:rsid w:val="528B1EB5"/>
    <w:rsid w:val="54427383"/>
    <w:rsid w:val="547A1F18"/>
    <w:rsid w:val="56AD2D63"/>
    <w:rsid w:val="5ABA2F01"/>
    <w:rsid w:val="5B266C40"/>
    <w:rsid w:val="5BC95A17"/>
    <w:rsid w:val="5BCA7F4A"/>
    <w:rsid w:val="5D861C18"/>
    <w:rsid w:val="5E2C6C63"/>
    <w:rsid w:val="5E902B82"/>
    <w:rsid w:val="60592F95"/>
    <w:rsid w:val="60E3372F"/>
    <w:rsid w:val="629F2AFB"/>
    <w:rsid w:val="62C05BCC"/>
    <w:rsid w:val="63857653"/>
    <w:rsid w:val="64F12CBC"/>
    <w:rsid w:val="65FF4C5D"/>
    <w:rsid w:val="66CD4D5B"/>
    <w:rsid w:val="670E3D2C"/>
    <w:rsid w:val="681635B8"/>
    <w:rsid w:val="68BA3C91"/>
    <w:rsid w:val="6BE4292B"/>
    <w:rsid w:val="6BE55866"/>
    <w:rsid w:val="6C223454"/>
    <w:rsid w:val="6CBF59DD"/>
    <w:rsid w:val="6F983402"/>
    <w:rsid w:val="73CB43D1"/>
    <w:rsid w:val="74024296"/>
    <w:rsid w:val="74337C2D"/>
    <w:rsid w:val="744E128A"/>
    <w:rsid w:val="75D5244D"/>
    <w:rsid w:val="76067942"/>
    <w:rsid w:val="761B3E5E"/>
    <w:rsid w:val="774B1AB0"/>
    <w:rsid w:val="787E5CCD"/>
    <w:rsid w:val="78AF3E58"/>
    <w:rsid w:val="78B655FC"/>
    <w:rsid w:val="7A142A05"/>
    <w:rsid w:val="7A3408DA"/>
    <w:rsid w:val="7ACC2147"/>
    <w:rsid w:val="7C66060B"/>
    <w:rsid w:val="7F531E4A"/>
    <w:rsid w:val="7F913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宋体" w:cs="Times New Roman"/>
      <w:kern w:val="2"/>
      <w:sz w:val="24"/>
      <w:szCs w:val="24"/>
      <w:lang w:val="en-US" w:eastAsia="zh-TW" w:bidi="ar-SA"/>
    </w:rPr>
  </w:style>
  <w:style w:type="paragraph" w:styleId="3">
    <w:name w:val="heading 2"/>
    <w:basedOn w:val="1"/>
    <w:next w:val="4"/>
    <w:qFormat/>
    <w:uiPriority w:val="0"/>
    <w:pPr>
      <w:keepNext/>
      <w:keepLines/>
      <w:numPr>
        <w:ilvl w:val="1"/>
        <w:numId w:val="1"/>
      </w:numPr>
      <w:spacing w:line="360" w:lineRule="auto"/>
      <w:jc w:val="center"/>
      <w:outlineLvl w:val="1"/>
    </w:pPr>
    <w:rPr>
      <w:rFonts w:ascii="Arial" w:hAnsi="Arial" w:eastAsia="黑体"/>
      <w:bCs/>
      <w:kern w:val="0"/>
      <w:sz w:val="32"/>
      <w:szCs w:val="32"/>
    </w:rPr>
  </w:style>
  <w:style w:type="paragraph" w:styleId="5">
    <w:name w:val="heading 3"/>
    <w:basedOn w:val="1"/>
    <w:next w:val="1"/>
    <w:qFormat/>
    <w:uiPriority w:val="0"/>
    <w:pPr>
      <w:keepNext/>
      <w:keepLines/>
      <w:numPr>
        <w:ilvl w:val="2"/>
        <w:numId w:val="1"/>
      </w:numPr>
      <w:spacing w:line="360" w:lineRule="auto"/>
      <w:jc w:val="center"/>
      <w:outlineLvl w:val="2"/>
    </w:pPr>
    <w:rPr>
      <w:rFonts w:eastAsia="黑体"/>
      <w:bCs/>
      <w:kern w:val="0"/>
      <w:sz w:val="30"/>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 w:val="20"/>
      <w:szCs w:val="20"/>
    </w:rPr>
  </w:style>
  <w:style w:type="paragraph" w:styleId="4">
    <w:name w:val="Normal Indent"/>
    <w:basedOn w:val="1"/>
    <w:qFormat/>
    <w:uiPriority w:val="0"/>
    <w:pPr>
      <w:ind w:firstLine="420"/>
    </w:pPr>
    <w:rPr>
      <w:szCs w:val="20"/>
    </w:rPr>
  </w:style>
  <w:style w:type="paragraph" w:styleId="6">
    <w:name w:val="Body Text"/>
    <w:basedOn w:val="1"/>
    <w:next w:val="1"/>
    <w:qFormat/>
    <w:uiPriority w:val="1"/>
    <w:rPr>
      <w:rFonts w:ascii="宋体" w:hAnsi="宋体" w:cs="宋体"/>
      <w:sz w:val="21"/>
      <w:szCs w:val="21"/>
      <w:lang w:val="zh-CN" w:eastAsia="zh-CN" w:bidi="zh-CN"/>
    </w:rPr>
  </w:style>
  <w:style w:type="paragraph" w:styleId="7">
    <w:name w:val="Balloon Text"/>
    <w:basedOn w:val="1"/>
    <w:link w:val="20"/>
    <w:qFormat/>
    <w:uiPriority w:val="0"/>
    <w:rPr>
      <w:sz w:val="18"/>
      <w:szCs w:val="18"/>
    </w:rPr>
  </w:style>
  <w:style w:type="paragraph" w:styleId="8">
    <w:name w:val="footer"/>
    <w:basedOn w:val="1"/>
    <w:qFormat/>
    <w:uiPriority w:val="0"/>
    <w:pPr>
      <w:tabs>
        <w:tab w:val="center" w:pos="4153"/>
        <w:tab w:val="right" w:pos="8306"/>
      </w:tabs>
      <w:snapToGrid w:val="0"/>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b/>
      <w:bCs/>
    </w:rPr>
  </w:style>
  <w:style w:type="character" w:styleId="14">
    <w:name w:val="page number"/>
    <w:basedOn w:val="12"/>
    <w:qFormat/>
    <w:uiPriority w:val="0"/>
  </w:style>
  <w:style w:type="paragraph" w:customStyle="1" w:styleId="1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16">
    <w:name w:val="font31"/>
    <w:basedOn w:val="12"/>
    <w:qFormat/>
    <w:uiPriority w:val="0"/>
    <w:rPr>
      <w:rFonts w:hint="eastAsia" w:ascii="宋体" w:hAnsi="宋体" w:eastAsia="宋体" w:cs="宋体"/>
      <w:color w:val="000000"/>
      <w:sz w:val="24"/>
      <w:szCs w:val="24"/>
      <w:u w:val="none"/>
    </w:rPr>
  </w:style>
  <w:style w:type="character" w:customStyle="1" w:styleId="17">
    <w:name w:val="font41"/>
    <w:basedOn w:val="12"/>
    <w:qFormat/>
    <w:uiPriority w:val="0"/>
    <w:rPr>
      <w:rFonts w:ascii="Calibri" w:hAnsi="Calibri" w:cs="Calibri"/>
      <w:color w:val="000000"/>
      <w:sz w:val="24"/>
      <w:szCs w:val="24"/>
      <w:u w:val="none"/>
    </w:rPr>
  </w:style>
  <w:style w:type="paragraph" w:customStyle="1" w:styleId="18">
    <w:name w:val="正文 New New New New New New New New New New New New New New New New New New New New New New New New New New New New New New New New New New New New New New New New New New New New New New"/>
    <w:qFormat/>
    <w:uiPriority w:val="0"/>
    <w:pPr>
      <w:widowControl w:val="0"/>
      <w:topLinePunct/>
      <w:jc w:val="both"/>
    </w:pPr>
    <w:rPr>
      <w:rFonts w:ascii="Times New Roman" w:hAnsi="Times New Roman" w:eastAsia="宋体" w:cs="Times New Roman"/>
      <w:kern w:val="2"/>
      <w:sz w:val="21"/>
      <w:lang w:val="en-US" w:eastAsia="zh-CN" w:bidi="ar-SA"/>
    </w:rPr>
  </w:style>
  <w:style w:type="paragraph" w:customStyle="1" w:styleId="19">
    <w:name w:val="Table Paragraph"/>
    <w:basedOn w:val="1"/>
    <w:qFormat/>
    <w:uiPriority w:val="1"/>
    <w:rPr>
      <w:rFonts w:ascii="黑体" w:hAnsi="黑体" w:eastAsia="黑体" w:cs="黑体"/>
      <w:lang w:val="zh-CN" w:eastAsia="zh-CN" w:bidi="zh-CN"/>
    </w:rPr>
  </w:style>
  <w:style w:type="character" w:customStyle="1" w:styleId="20">
    <w:name w:val="批注框文本 字符"/>
    <w:basedOn w:val="12"/>
    <w:link w:val="7"/>
    <w:qFormat/>
    <w:uiPriority w:val="0"/>
    <w:rPr>
      <w:kern w:val="2"/>
      <w:sz w:val="18"/>
      <w:szCs w:val="18"/>
      <w:lang w:eastAsia="zh-TW"/>
    </w:rPr>
  </w:style>
  <w:style w:type="paragraph" w:customStyle="1" w:styleId="21">
    <w:name w:val="a"/>
    <w:basedOn w:val="1"/>
    <w:qFormat/>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http://www.xitongtiandi.com</Company>
  <Pages>7</Pages>
  <Words>1815</Words>
  <Characters>1858</Characters>
  <Lines>37</Lines>
  <Paragraphs>10</Paragraphs>
  <TotalTime>2</TotalTime>
  <ScaleCrop>false</ScaleCrop>
  <LinksUpToDate>false</LinksUpToDate>
  <CharactersWithSpaces>1894</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2022-09-07T07:29:00Z</dcterms:created>
  <dc:creator>知足常le</dc:creator>
  <cp:lastModifiedBy>svfly</cp:lastModifiedBy>
  <cp:lastPrinted>2022-09-29T00:34:00Z</cp:lastPrinted>
  <dcterms:modified xsi:type="dcterms:W3CDTF">2023-12-18T08:48:14Z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A3C90D911E01404EBC8AE0078062CF3F_13</vt:lpwstr>
  </property>
</Properties>
</file>