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需求内容</w:t>
      </w:r>
      <w:r>
        <w:rPr>
          <w:rFonts w:hint="eastAsia" w:ascii="方正小标宋简体" w:hAnsi="方正小标宋简体" w:eastAsia="方正小标宋简体" w:cs="方正小标宋简体"/>
          <w:sz w:val="44"/>
          <w:szCs w:val="44"/>
          <w:lang w:val="en-US" w:eastAsia="zh-CN"/>
        </w:rPr>
        <w:t>-触控平板一体机1台</w:t>
      </w:r>
    </w:p>
    <w:p>
      <w:p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一、技术参数</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1)所投产品采用一体化设计，高度集成摄像头、麦克风、扬声器、硬件视频会议编解码器；（须提供第三方权威机构检验报告）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2)全高清红外触控显示屏，显示屏尺寸不低于86英寸；显示器物理分辨率不低于</w:t>
      </w:r>
      <w:r>
        <w:rPr>
          <w:rFonts w:hint="eastAsia" w:ascii="方正仿宋_GB2312" w:hAnsi="方正仿宋_GB2312" w:eastAsia="方正仿宋_GB2312" w:cs="方正仿宋_GB2312"/>
          <w:sz w:val="32"/>
          <w:szCs w:val="32"/>
          <w:lang w:val="en-US" w:eastAsia="zh-CN"/>
        </w:rPr>
        <w:t>4K（</w:t>
      </w:r>
      <w:r>
        <w:rPr>
          <w:rFonts w:hint="eastAsia" w:ascii="方正仿宋_GB2312" w:hAnsi="方正仿宋_GB2312" w:eastAsia="方正仿宋_GB2312" w:cs="方正仿宋_GB2312"/>
          <w:sz w:val="32"/>
          <w:szCs w:val="32"/>
          <w:lang w:eastAsia="zh-CN"/>
        </w:rPr>
        <w:t>3840*2160</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eastAsia="zh-CN"/>
        </w:rPr>
        <w:t>,显示比例不低于16:9；</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3)CPU不小于双芯片4Core@1.5G+4Core@1.8G，Flash不小于64GB，RAM不小于4GB+8GB；（须提供原厂或官方彩页核对）</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4)所投产品采用嵌入式操作系统，视音频编解码芯片采用国产自主芯片；（须提供第三方权威机构检验报告）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5)所投产品触控屏触摸精度可达±1mm；</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6)所投产品在白板书写时延不大于35ms；（须提供第三方权威机构检验报告）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7)所投产品支持双人同时书写，不少于20个触控点；</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8)内置不低于800万像素摄像头，2倍数字变焦；内置不低于12个阵列麦克风单元；（须提供第三方权威机构检验报告）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9)内置智能语音控制：通过语音指令实现唤醒设备、调节音量、加入/离开会议、发送/停止双流共享、延长会议功能；（须提供第三方权威机构检验报告）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10)所投产品支持不少于以下接口及数量：HDMI×3、音频接口×2、USB*3、RJ45*2，支持WIFI2.4G和5G频段；</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11)所投产品支持PC无线投屏功能，最大可支持4K15帧或1080P60帧；</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12)所投产品支持移动设备无线投屏功能 ，兼容Android手机和Pad，视频清晰度不低于1080P；</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13)所投产品支持无线双流功能，兼容 Windows 操作系统，PC可通过Wi-Fi 或有线网络将桌面内容( 本地视频清晰度达到4K15fps或1080P60fps)作为双流发送给远端会场，视频清晰度达到 4K；（须提供第三方权威机构检验报告）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14)所投产品支持自适应全景拍摄功能、支持发言人智能跟踪功能，采用声源定位和图像定位技术，自动切换发言人特写画面，无需人工干预；（须提供第三方权威机构检验报告）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15)无需外接OPS电脑，所投产品支持加入视频会议；支持H.265 SCC协议，可以让共享的数据观看更清晰；</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16)所投产品支持标准H.323下H239协议，在主流1080P30帧的情况下，辅流可达到4K分辨率。支持标准SIP协议下BFCP，在主流1080P30帧的情况下，辅流可达到4K分辨率；</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17)支持双显输出功能，可以在两个显示设备上分别输出远端图像、本端图像和双流；（须提供第三方权威机构检验报告）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18)所投产品支持外接同品牌全向数字麦克风，支持360度拾音，拾音半径可达6米，最大支持二个麦克风级联；</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19)须支持IPv4和IPv6双协议栈，支持IPv4和IPv6模式下建立呼叫及登录设备管理后台；</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20)支持基于芯片进行系统安全启动，确保启动时仅载入合法的受信任的操作系统和运行软件；（须提供第三方权威机构检验报告）</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lang w:eastAsia="zh-CN"/>
        </w:rPr>
        <w:t>)含原装落地支架一套；</w:t>
      </w: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、售后服务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（3）本次产品的质保期</w:t>
      </w:r>
      <w:r>
        <w:rPr>
          <w:rFonts w:hint="eastAsia" w:ascii="方正仿宋_GB2312" w:hAnsi="方正仿宋_GB2312" w:eastAsia="方正仿宋_GB2312" w:cs="方正仿宋_GB2312"/>
          <w:sz w:val="32"/>
          <w:szCs w:val="32"/>
          <w:lang w:eastAsia="zh-CN"/>
        </w:rPr>
        <w:t>至少</w:t>
      </w:r>
      <w:r>
        <w:rPr>
          <w:rFonts w:hint="eastAsia" w:ascii="方正仿宋_GB2312" w:hAnsi="方正仿宋_GB2312" w:eastAsia="方正仿宋_GB2312" w:cs="方正仿宋_GB2312"/>
          <w:sz w:val="32"/>
          <w:szCs w:val="32"/>
        </w:rPr>
        <w:t>为2年，自验收合格之日起计算，期间成交供应商应提供一切维修服务。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p>
      <w:pPr>
        <w:ind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四、响应文件要求</w:t>
      </w:r>
    </w:p>
    <w:p>
      <w:pPr>
        <w:ind w:firstLine="56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供应商需根据以上招标文件要求编制技术和商务偏离表，并对无偏离、正偏离条款提供证明文件（包括不限于产品说明书、产品图册、第三方检测机构检测报告等），未提供视为负偏离。供应商所响应产品对“一、技术参数”中的技术参数要求条款存在不满足、负偏离或未响应的条款数量≥2项的，视为未实质性响应谈判文件要求，其谈判响应无效。</w:t>
      </w: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eastAsiaTheme="minorEastAsia"/>
          <w:b/>
          <w:kern w:val="0"/>
          <w:sz w:val="28"/>
          <w:szCs w:val="28"/>
          <w:lang w:eastAsia="zh-CN"/>
        </w:rPr>
      </w:pPr>
      <w:r>
        <w:rPr>
          <w:rFonts w:hint="eastAsia" w:cs="宋体" w:asciiTheme="minorEastAsia" w:hAnsiTheme="minorEastAsia"/>
          <w:b/>
          <w:kern w:val="0"/>
          <w:sz w:val="28"/>
          <w:szCs w:val="28"/>
          <w:lang w:eastAsia="zh-CN"/>
        </w:rPr>
        <w:t>附件：</w:t>
      </w: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技术和</w:t>
      </w:r>
      <w:r>
        <w:rPr>
          <w:rFonts w:hint="eastAsia" w:cs="宋体" w:asciiTheme="minorEastAsia" w:hAnsiTheme="minorEastAsia" w:eastAsiaTheme="minorEastAsia"/>
          <w:b/>
          <w:kern w:val="0"/>
          <w:sz w:val="28"/>
          <w:szCs w:val="28"/>
        </w:rPr>
        <w:t>商务偏离</w:t>
      </w:r>
      <w:r>
        <w:rPr>
          <w:rFonts w:cs="宋体" w:asciiTheme="minorEastAsia" w:hAnsiTheme="minorEastAsia" w:eastAsiaTheme="minorEastAsia"/>
          <w:b/>
          <w:kern w:val="0"/>
          <w:sz w:val="28"/>
          <w:szCs w:val="28"/>
        </w:rPr>
        <w:t>表</w:t>
      </w:r>
    </w:p>
    <w:tbl>
      <w:tblPr>
        <w:tblStyle w:val="3"/>
        <w:tblW w:w="84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1901"/>
        <w:gridCol w:w="3083"/>
        <w:gridCol w:w="2268"/>
        <w:gridCol w:w="12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3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章节条目号</w:t>
            </w:r>
          </w:p>
        </w:tc>
        <w:tc>
          <w:tcPr>
            <w:tcW w:w="3083"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竞争性谈判文件规定的</w:t>
            </w:r>
          </w:p>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技术和</w:t>
            </w:r>
            <w:r>
              <w:rPr>
                <w:rFonts w:hint="eastAsia" w:cs="宋体" w:asciiTheme="minorEastAsia" w:hAnsiTheme="minorEastAsia" w:eastAsiaTheme="minorEastAsia"/>
                <w:kern w:val="0"/>
                <w:sz w:val="24"/>
              </w:rPr>
              <w:t>商务</w:t>
            </w:r>
            <w:r>
              <w:rPr>
                <w:rFonts w:cs="宋体" w:asciiTheme="minorEastAsia" w:hAnsiTheme="minorEastAsia" w:eastAsiaTheme="minorEastAsia"/>
                <w:kern w:val="0"/>
                <w:sz w:val="24"/>
              </w:rPr>
              <w:t>要求</w:t>
            </w:r>
          </w:p>
        </w:tc>
        <w:tc>
          <w:tcPr>
            <w:tcW w:w="2268"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响应文件响应承诺</w:t>
            </w:r>
          </w:p>
        </w:tc>
        <w:tc>
          <w:tcPr>
            <w:tcW w:w="1214"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是否偏离及说明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bl>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注：（1）竞争性谈判文件（含技术和</w:t>
      </w:r>
      <w:r>
        <w:rPr>
          <w:rFonts w:hint="eastAsia" w:cs="宋体" w:asciiTheme="minorEastAsia" w:hAnsiTheme="minorEastAsia" w:eastAsiaTheme="minorEastAsia"/>
          <w:bCs/>
          <w:kern w:val="0"/>
          <w:sz w:val="24"/>
        </w:rPr>
        <w:t>商务</w:t>
      </w:r>
      <w:r>
        <w:rPr>
          <w:rFonts w:cs="宋体" w:asciiTheme="minorEastAsia" w:hAnsiTheme="minorEastAsia" w:eastAsiaTheme="minorEastAsia"/>
          <w:bCs/>
          <w:kern w:val="0"/>
          <w:sz w:val="24"/>
        </w:rPr>
        <w:t>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给采购人造成损失的，还必须进行赔偿并负相关责任。</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line="360" w:lineRule="auto"/>
        <w:jc w:val="left"/>
        <w:rPr>
          <w:rFonts w:ascii="宋体" w:hAnsi="宋体" w:cs="宋体"/>
          <w:kern w:val="0"/>
          <w:sz w:val="24"/>
        </w:rPr>
      </w:pPr>
    </w:p>
    <w:p>
      <w:pPr>
        <w:widowControl/>
        <w:spacing w:line="360" w:lineRule="auto"/>
        <w:ind w:firstLine="2160" w:firstLineChars="900"/>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ind w:firstLine="2160" w:firstLineChars="900"/>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250" w:lineRule="atLeast"/>
        <w:ind w:firstLine="2160" w:firstLineChars="900"/>
        <w:jc w:val="left"/>
        <w:rPr>
          <w:rFonts w:ascii="宋体" w:hAnsi="宋体" w:cs="宋体"/>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kern w:val="0"/>
          <w:sz w:val="24"/>
          <w:u w:val="single"/>
          <w:lang w:eastAsia="zh-CN"/>
        </w:rPr>
        <w:t>日</w:t>
      </w:r>
    </w:p>
    <w:p>
      <w:pPr>
        <w:rPr>
          <w:rFonts w:hint="default" w:ascii="方正仿宋_GB2312" w:hAnsi="方正仿宋_GB2312" w:eastAsia="方正仿宋_GB2312" w:cs="方正仿宋_GB2312"/>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ADE374-C045-465F-9857-968FE91A512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C4216A0E-249C-4929-A092-12AB9D2D647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000000"/>
    <w:rsid w:val="1E710DB1"/>
    <w:rsid w:val="22746A82"/>
    <w:rsid w:val="2FE2332E"/>
    <w:rsid w:val="4BC50FC2"/>
    <w:rsid w:val="52FC695F"/>
    <w:rsid w:val="63745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2023-07-19T01:27:00Z</dcterms:created>
  <dc:creator>Administrator</dc:creator>
  <cp:lastModifiedBy>svfly</cp:lastModifiedBy>
  <dcterms:modified xsi:type="dcterms:W3CDTF">2023-08-09T03:30:30Z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6EC16C1BE81D49C3B277B75BA6573375_13</vt:lpwstr>
  </property>
</Properties>
</file>