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28"/>
          <w:szCs w:val="36"/>
          <w:lang w:eastAsia="zh-CN"/>
        </w:rPr>
      </w:pPr>
      <w:bookmarkStart w:id="0" w:name="_GoBack"/>
      <w:r>
        <w:rPr>
          <w:rFonts w:hint="eastAsia" w:ascii="方正小标宋简体" w:hAnsi="方正小标宋简体" w:eastAsia="方正小标宋简体" w:cs="方正小标宋简体"/>
          <w:sz w:val="44"/>
          <w:szCs w:val="44"/>
          <w:lang w:eastAsia="zh-CN"/>
        </w:rPr>
        <w:t>需求内容-HIS系统电子票据3.0接口改造服务</w:t>
      </w:r>
    </w:p>
    <w:bookmarkEnd w:id="0"/>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一、主要用途</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门诊、住院患者电子票据能够在财政电子票据管理系统升级改造后正常开具。在财政系统升级3.0后不影响病人就诊开票。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根据《福建省财政厅 福建省卫生健康委员会福建省医疗保障局关于加快推进医疗收费电子票据管理改革的通知》（闽财非税〔2022〕2号）和福建省财政厅关于答复厦门市财政电子票据有关事项的函的要求，自2023年起，厦门市财政电子票据由省级统一制样、赋码和监制，不再授权监制签名。为此，厦门市医疗收费电子票据委端管理系统已对财政电子票据管理系统进行升级改造。为确保我市医疗收费电子票据信息填列规范，制样、监制统一，必须对院内系统的电子票据接口做对应升级改造。</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lang w:val="en-US" w:eastAsia="zh-CN"/>
        </w:rPr>
        <w:t>改造要求</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满足门诊、住院电子票据开票功能要求；能够有及时应对升级过程中错误和故障的处理能力；能够满足本院门诊、住院病人开票吞吐量；兼容本院操作系统、设备和网络环境。</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按照《厦门市医疗收费电子票据管理3.0系统接口》标准接口要求，完成本次接口升级工作。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1E710DB1"/>
    <w:rsid w:val="22746A82"/>
    <w:rsid w:val="26FA7981"/>
    <w:rsid w:val="4BC50FC2"/>
    <w:rsid w:val="52FC695F"/>
    <w:rsid w:val="721B6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80" w:lineRule="exact"/>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2023-07-19T01:27:00Z</dcterms:created>
  <dc:creator>Administrator</dc:creator>
  <cp:lastModifiedBy>svfly</cp:lastModifiedBy>
  <dcterms:modified xsi:type="dcterms:W3CDTF">2023-08-14T08:20:55Z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61A9D4E7E63046A68D8EFEF325D5A3BD_13</vt:lpwstr>
  </property>
</Properties>
</file>