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2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797"/>
        <w:gridCol w:w="848"/>
        <w:gridCol w:w="59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2" w:hRule="atLeast"/>
          <w:jc w:val="center"/>
        </w:trPr>
        <w:tc>
          <w:tcPr>
            <w:tcW w:w="1670" w:type="dxa"/>
            <w:noWrap w:val="0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详细评审标准</w:t>
            </w:r>
          </w:p>
        </w:tc>
        <w:tc>
          <w:tcPr>
            <w:tcW w:w="1797" w:type="dxa"/>
            <w:noWrap w:val="0"/>
            <w:vAlign w:val="center"/>
          </w:tcPr>
          <w:p>
            <w:pPr>
              <w:snapToGrid w:val="0"/>
              <w:spacing w:line="440" w:lineRule="exact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评标总得分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100</w:t>
            </w:r>
          </w:p>
        </w:tc>
        <w:tc>
          <w:tcPr>
            <w:tcW w:w="5941" w:type="dxa"/>
            <w:noWrap w:val="0"/>
            <w:vAlign w:val="center"/>
          </w:tcPr>
          <w:p>
            <w:pPr>
              <w:snapToGrid w:val="0"/>
              <w:spacing w:line="440" w:lineRule="exact"/>
              <w:jc w:val="left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供应商的评标总得分</w:t>
            </w:r>
            <w:r>
              <w:rPr>
                <w:rFonts w:hint="eastAsia" w:ascii="仿宋" w:hAnsi="仿宋" w:eastAsia="仿宋"/>
                <w:b/>
                <w:sz w:val="24"/>
              </w:rPr>
              <w:t>满分100分，</w:t>
            </w:r>
          </w:p>
          <w:p>
            <w:pPr>
              <w:snapToGrid w:val="0"/>
              <w:spacing w:line="440" w:lineRule="exact"/>
              <w:jc w:val="left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供应商的评标总得分</w:t>
            </w:r>
            <w:r>
              <w:rPr>
                <w:rFonts w:hint="eastAsia" w:ascii="仿宋" w:hAnsi="仿宋" w:eastAsia="仿宋"/>
                <w:b/>
                <w:sz w:val="24"/>
              </w:rPr>
              <w:t>=</w:t>
            </w:r>
            <w:r>
              <w:rPr>
                <w:rFonts w:ascii="仿宋" w:hAnsi="仿宋" w:eastAsia="仿宋"/>
                <w:sz w:val="24"/>
              </w:rPr>
              <w:t xml:space="preserve"> F1</w:t>
            </w:r>
            <w:r>
              <w:rPr>
                <w:rFonts w:hint="eastAsia" w:ascii="仿宋" w:hAnsi="仿宋" w:eastAsia="仿宋"/>
                <w:sz w:val="24"/>
              </w:rPr>
              <w:t>+</w:t>
            </w:r>
            <w:r>
              <w:rPr>
                <w:rFonts w:ascii="仿宋" w:hAnsi="仿宋" w:eastAsia="仿宋"/>
                <w:sz w:val="24"/>
              </w:rPr>
              <w:t>F2</w:t>
            </w:r>
            <w:r>
              <w:rPr>
                <w:rFonts w:hint="eastAsia" w:ascii="仿宋" w:hAnsi="仿宋" w:eastAsia="仿宋"/>
                <w:sz w:val="24"/>
              </w:rPr>
              <w:t>+</w:t>
            </w:r>
            <w:r>
              <w:rPr>
                <w:rFonts w:ascii="仿宋" w:hAnsi="仿宋" w:eastAsia="仿宋"/>
                <w:sz w:val="24"/>
              </w:rPr>
              <w:t>F3</w:t>
            </w:r>
          </w:p>
          <w:p>
            <w:pPr>
              <w:snapToGrid w:val="0"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F1、F2、F3分别为报价、技术部分、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服</w:t>
            </w:r>
            <w:r>
              <w:rPr>
                <w:rFonts w:hint="eastAsia" w:ascii="仿宋" w:hAnsi="仿宋" w:eastAsia="仿宋"/>
                <w:sz w:val="24"/>
              </w:rPr>
              <w:t>务部分</w:t>
            </w:r>
            <w:r>
              <w:rPr>
                <w:rFonts w:ascii="仿宋" w:hAnsi="仿宋" w:eastAsia="仿宋"/>
                <w:sz w:val="24"/>
              </w:rPr>
              <w:t>3项评分因素的汇总得分；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70" w:type="dxa"/>
            <w:shd w:val="clear" w:color="auto" w:fill="auto"/>
            <w:noWrap w:val="0"/>
            <w:vAlign w:val="center"/>
          </w:tcPr>
          <w:p>
            <w:pPr>
              <w:tabs>
                <w:tab w:val="left" w:pos="420"/>
              </w:tabs>
              <w:spacing w:line="360" w:lineRule="auto"/>
              <w:jc w:val="center"/>
              <w:rPr>
                <w:rFonts w:ascii="仿宋" w:hAnsi="仿宋" w:eastAsia="仿宋" w:cs="宋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Cs w:val="21"/>
              </w:rPr>
              <w:t>评审条款</w:t>
            </w:r>
          </w:p>
        </w:tc>
        <w:tc>
          <w:tcPr>
            <w:tcW w:w="2645" w:type="dxa"/>
            <w:gridSpan w:val="2"/>
            <w:shd w:val="clear" w:color="auto" w:fill="FFFFFF"/>
            <w:noWrap w:val="0"/>
            <w:vAlign w:val="center"/>
          </w:tcPr>
          <w:p>
            <w:pPr>
              <w:tabs>
                <w:tab w:val="left" w:pos="420"/>
              </w:tabs>
              <w:spacing w:line="360" w:lineRule="auto"/>
              <w:jc w:val="center"/>
              <w:rPr>
                <w:rFonts w:ascii="仿宋" w:hAnsi="仿宋" w:eastAsia="仿宋" w:cs="宋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Cs w:val="21"/>
              </w:rPr>
              <w:t>评审分值（分）</w:t>
            </w:r>
          </w:p>
        </w:tc>
        <w:tc>
          <w:tcPr>
            <w:tcW w:w="5941" w:type="dxa"/>
            <w:shd w:val="clear" w:color="auto" w:fill="FFFFFF"/>
            <w:noWrap w:val="0"/>
            <w:vAlign w:val="center"/>
          </w:tcPr>
          <w:p>
            <w:pPr>
              <w:tabs>
                <w:tab w:val="left" w:pos="420"/>
              </w:tabs>
              <w:spacing w:line="360" w:lineRule="auto"/>
              <w:ind w:firstLine="1792" w:firstLineChars="850"/>
              <w:rPr>
                <w:rFonts w:ascii="仿宋" w:hAnsi="仿宋" w:eastAsia="仿宋" w:cs="宋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Cs w:val="21"/>
              </w:rPr>
              <w:t>评审细则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70" w:type="dxa"/>
            <w:shd w:val="clear" w:color="auto" w:fill="auto"/>
            <w:noWrap w:val="0"/>
            <w:vAlign w:val="center"/>
          </w:tcPr>
          <w:p>
            <w:pPr>
              <w:snapToGrid w:val="0"/>
              <w:spacing w:line="440" w:lineRule="exact"/>
              <w:rPr>
                <w:rFonts w:hint="eastAsia" w:ascii="仿宋" w:hAnsi="仿宋" w:eastAsia="仿宋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</w:rPr>
              <w:t>报价F1</w:t>
            </w:r>
          </w:p>
        </w:tc>
        <w:tc>
          <w:tcPr>
            <w:tcW w:w="2645" w:type="dxa"/>
            <w:gridSpan w:val="2"/>
            <w:shd w:val="clear" w:color="auto" w:fill="FFFFFF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20</w:t>
            </w:r>
            <w:r>
              <w:rPr>
                <w:rFonts w:ascii="仿宋" w:hAnsi="仿宋" w:eastAsia="仿宋" w:cs="宋体"/>
                <w:sz w:val="24"/>
              </w:rPr>
              <w:t>分</w:t>
            </w:r>
          </w:p>
        </w:tc>
        <w:tc>
          <w:tcPr>
            <w:tcW w:w="5941" w:type="dxa"/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价格分采用低价优先法计算，即满足磋商文件要求且最后报价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最低的供应商的价格为磋商基准价，其价格分为满分。其他供应商的价格分统一按照下列公式计算：磋商报价得分=（磋商基准价/最后磋商报价）×价格权值×100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70" w:type="dxa"/>
            <w:vMerge w:val="restar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hint="default" w:ascii="仿宋" w:hAnsi="仿宋" w:eastAsia="仿宋" w:cs="宋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技术部分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F2</w:t>
            </w:r>
          </w:p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z w:val="24"/>
              </w:rPr>
            </w:pPr>
          </w:p>
        </w:tc>
        <w:tc>
          <w:tcPr>
            <w:tcW w:w="2645" w:type="dxa"/>
            <w:gridSpan w:val="2"/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sz w:val="24"/>
              </w:rPr>
              <w:t>分</w:t>
            </w:r>
          </w:p>
        </w:tc>
        <w:tc>
          <w:tcPr>
            <w:tcW w:w="5941" w:type="dxa"/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z w:val="24"/>
              </w:rPr>
            </w:pPr>
            <w:r>
              <w:rPr>
                <w:rFonts w:ascii="仿宋" w:hAnsi="仿宋" w:eastAsia="仿宋" w:cs="宋体"/>
                <w:sz w:val="24"/>
              </w:rPr>
              <w:t>1</w:t>
            </w:r>
            <w:r>
              <w:rPr>
                <w:rFonts w:hint="eastAsia" w:ascii="仿宋" w:hAnsi="仿宋" w:eastAsia="仿宋" w:cs="宋体"/>
                <w:sz w:val="24"/>
              </w:rPr>
              <w:t>、根据附表项目提供有效的计量标准考核证书证书及附件和有效的</w:t>
            </w:r>
            <w:r>
              <w:rPr>
                <w:rFonts w:ascii="仿宋" w:hAnsi="仿宋" w:eastAsia="仿宋" w:cs="宋体"/>
                <w:sz w:val="24"/>
              </w:rPr>
              <w:t>CNAS</w:t>
            </w:r>
            <w:r>
              <w:rPr>
                <w:rFonts w:hint="eastAsia" w:ascii="仿宋" w:hAnsi="仿宋" w:eastAsia="仿宋" w:cs="宋体"/>
                <w:sz w:val="24"/>
              </w:rPr>
              <w:t>证书及附件符合此项得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sz w:val="24"/>
              </w:rPr>
              <w:t>分。</w:t>
            </w:r>
          </w:p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70" w:type="dxa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z w:val="24"/>
              </w:rPr>
            </w:pPr>
          </w:p>
        </w:tc>
        <w:tc>
          <w:tcPr>
            <w:tcW w:w="2645" w:type="dxa"/>
            <w:gridSpan w:val="2"/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30</w:t>
            </w:r>
            <w:r>
              <w:rPr>
                <w:rFonts w:hint="eastAsia" w:ascii="仿宋" w:hAnsi="仿宋" w:eastAsia="仿宋" w:cs="宋体"/>
                <w:sz w:val="24"/>
              </w:rPr>
              <w:t>分</w:t>
            </w:r>
          </w:p>
        </w:tc>
        <w:tc>
          <w:tcPr>
            <w:tcW w:w="5941" w:type="dxa"/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技术服务方案评分：1.技术服务方案有完善的时间进度计划，安排及说明具有科学性、合理性、有效性、紧密程度满足采购人工需求；能根据项目特点合理分配管理人员、检测人员、相关人员的得：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30</w:t>
            </w:r>
            <w:r>
              <w:rPr>
                <w:rFonts w:hint="eastAsia" w:ascii="仿宋" w:hAnsi="仿宋" w:eastAsia="仿宋" w:cs="宋体"/>
                <w:sz w:val="24"/>
              </w:rPr>
              <w:t>分，</w:t>
            </w:r>
          </w:p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2.技术服务方案有时间进度计划针对性不强，有基本的安排及说明基本满足采购人工需求；能根据项目特点分配管理人员、检测人员、相关人员的得：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sz w:val="24"/>
              </w:rPr>
              <w:t>0分，</w:t>
            </w:r>
          </w:p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3.技术服务方案不完善、空洞、对各项工作需求安排不足的得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sz w:val="24"/>
              </w:rPr>
              <w:t>分。</w:t>
            </w:r>
          </w:p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无技术服务方案的得0分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70" w:type="dxa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z w:val="24"/>
              </w:rPr>
            </w:pPr>
          </w:p>
        </w:tc>
        <w:tc>
          <w:tcPr>
            <w:tcW w:w="2645" w:type="dxa"/>
            <w:gridSpan w:val="2"/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sz w:val="24"/>
              </w:rPr>
              <w:t>分</w:t>
            </w:r>
          </w:p>
        </w:tc>
        <w:tc>
          <w:tcPr>
            <w:tcW w:w="5941" w:type="dxa"/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项目负责人和项目组成员需具备同类项目实施能力及经验，所有人员均持证上岗，提供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注册计量师证书及</w:t>
            </w:r>
            <w:r>
              <w:rPr>
                <w:rFonts w:hint="eastAsia" w:ascii="仿宋" w:hAnsi="仿宋" w:eastAsia="仿宋" w:cs="宋体"/>
                <w:sz w:val="24"/>
              </w:rPr>
              <w:t>投标截止时间前半年内连续六个月（不含投标截止时间的当月）在本单位缴交的社保证明；</w:t>
            </w:r>
          </w:p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提供资格证书等材料6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人</w:t>
            </w:r>
            <w:r>
              <w:rPr>
                <w:rFonts w:hint="eastAsia" w:ascii="仿宋" w:hAnsi="仿宋" w:eastAsia="仿宋" w:cs="宋体"/>
                <w:sz w:val="24"/>
              </w:rPr>
              <w:t>及以上得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sz w:val="24"/>
              </w:rPr>
              <w:t>分。</w:t>
            </w:r>
          </w:p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4到5人</w:t>
            </w:r>
            <w:r>
              <w:rPr>
                <w:rFonts w:hint="eastAsia" w:ascii="仿宋" w:hAnsi="仿宋" w:eastAsia="仿宋" w:cs="宋体"/>
                <w:sz w:val="24"/>
              </w:rPr>
              <w:t>得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sz w:val="24"/>
              </w:rPr>
              <w:t>分</w:t>
            </w:r>
          </w:p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2到3人得4</w:t>
            </w:r>
            <w:r>
              <w:rPr>
                <w:rFonts w:hint="eastAsia" w:ascii="仿宋" w:hAnsi="仿宋" w:eastAsia="仿宋" w:cs="宋体"/>
                <w:sz w:val="24"/>
              </w:rPr>
              <w:t>分</w:t>
            </w:r>
          </w:p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hint="eastAsia" w:ascii="仿宋" w:hAnsi="仿宋" w:eastAsia="仿宋" w:cs="宋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1人得2分</w:t>
            </w:r>
            <w:bookmarkStart w:id="0" w:name="_GoBack"/>
            <w:bookmarkEnd w:id="0"/>
          </w:p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</w:rPr>
              <w:t>未提供人员材料得</w:t>
            </w:r>
            <w:r>
              <w:rPr>
                <w:rFonts w:ascii="仿宋" w:hAnsi="仿宋" w:eastAsia="仿宋" w:cs="宋体"/>
                <w:spacing w:val="0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</w:rPr>
              <w:t>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70" w:type="dxa"/>
            <w:vMerge w:val="restar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hint="default" w:ascii="仿宋" w:hAnsi="仿宋" w:eastAsia="仿宋" w:cs="宋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服务部分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F3</w:t>
            </w:r>
          </w:p>
        </w:tc>
        <w:tc>
          <w:tcPr>
            <w:tcW w:w="2645" w:type="dxa"/>
            <w:gridSpan w:val="2"/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z w:val="24"/>
              </w:rPr>
              <w:t>分</w:t>
            </w:r>
          </w:p>
        </w:tc>
        <w:tc>
          <w:tcPr>
            <w:tcW w:w="5941" w:type="dxa"/>
            <w:shd w:val="clear" w:color="auto" w:fill="FFFFFF"/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156" w:line="440" w:lineRule="exact"/>
              <w:ind w:firstLine="240" w:firstLineChars="100"/>
              <w:rPr>
                <w:rFonts w:ascii="仿宋" w:hAnsi="仿宋" w:eastAsia="仿宋" w:cs="宋体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</w:rPr>
              <w:t>服务保障措施：1.服务内容条款具体、可行并对本项目有详细的售后服务措施得</w:t>
            </w: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</w:rPr>
              <w:t>分。</w:t>
            </w:r>
          </w:p>
          <w:p>
            <w:pPr>
              <w:pStyle w:val="3"/>
              <w:adjustRightInd w:val="0"/>
              <w:snapToGrid w:val="0"/>
              <w:spacing w:before="156" w:line="440" w:lineRule="exact"/>
              <w:ind w:firstLine="240" w:firstLineChars="100"/>
              <w:rPr>
                <w:rFonts w:hint="eastAsia" w:ascii="仿宋" w:hAnsi="仿宋" w:eastAsia="仿宋" w:cs="宋体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</w:rPr>
              <w:t>. 服务内容条款有所欠缺、售后服务措施不详细的得</w:t>
            </w: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</w:rPr>
              <w:t>分。</w:t>
            </w:r>
          </w:p>
          <w:p>
            <w:pPr>
              <w:pStyle w:val="3"/>
              <w:adjustRightInd w:val="0"/>
              <w:snapToGrid w:val="0"/>
              <w:spacing w:before="156" w:line="440" w:lineRule="exact"/>
              <w:ind w:firstLine="240" w:firstLineChars="100"/>
              <w:rPr>
                <w:rFonts w:ascii="仿宋" w:hAnsi="仿宋" w:eastAsia="仿宋" w:cs="宋体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</w:rPr>
              <w:t>无服务保障措施的得0分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70" w:type="dxa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z w:val="24"/>
              </w:rPr>
            </w:pPr>
          </w:p>
        </w:tc>
        <w:tc>
          <w:tcPr>
            <w:tcW w:w="2645" w:type="dxa"/>
            <w:gridSpan w:val="2"/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15</w:t>
            </w:r>
            <w:r>
              <w:rPr>
                <w:rFonts w:hint="eastAsia" w:ascii="仿宋" w:hAnsi="仿宋" w:eastAsia="仿宋" w:cs="宋体"/>
                <w:sz w:val="24"/>
              </w:rPr>
              <w:t>分</w:t>
            </w:r>
          </w:p>
        </w:tc>
        <w:tc>
          <w:tcPr>
            <w:tcW w:w="5941" w:type="dxa"/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z w:val="24"/>
              </w:rPr>
            </w:pPr>
            <w:r>
              <w:rPr>
                <w:rFonts w:ascii="仿宋" w:hAnsi="仿宋" w:eastAsia="仿宋" w:cs="宋体"/>
                <w:sz w:val="24"/>
              </w:rPr>
              <w:t>1</w:t>
            </w:r>
            <w:r>
              <w:rPr>
                <w:rFonts w:hint="eastAsia" w:ascii="仿宋" w:hAnsi="仿宋" w:eastAsia="仿宋" w:cs="宋体"/>
                <w:sz w:val="24"/>
              </w:rPr>
              <w:t>、具有本地服务能力（必须在厦门本地有相应医疗设备校准资质能力CNAS实验室）</w:t>
            </w: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</w:rPr>
              <w:t>得</w:t>
            </w: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</w:rPr>
              <w:t>分</w:t>
            </w:r>
            <w:r>
              <w:rPr>
                <w:rFonts w:hint="eastAsia" w:ascii="仿宋" w:hAnsi="仿宋" w:eastAsia="仿宋" w:cs="宋体"/>
                <w:sz w:val="24"/>
              </w:rPr>
              <w:t>。</w:t>
            </w:r>
          </w:p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pacing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</w:rPr>
              <w:t>2</w:t>
            </w:r>
            <w:r>
              <w:rPr>
                <w:rFonts w:hint="eastAsia" w:ascii="仿宋" w:hAnsi="仿宋" w:eastAsia="仿宋" w:cs="宋体"/>
                <w:sz w:val="24"/>
              </w:rPr>
              <w:t>、协助院方建立全院医疗设备的质量控制体系，提供相应的信息化管理及数据录入服务</w:t>
            </w:r>
            <w:r>
              <w:rPr>
                <w:rFonts w:hint="eastAsia" w:ascii="仿宋" w:hAnsi="仿宋" w:eastAsia="仿宋" w:cs="宋体"/>
                <w:sz w:val="24"/>
                <w:lang w:eastAsia="zh-CN"/>
              </w:rPr>
              <w:t>的</w:t>
            </w: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</w:rPr>
              <w:t>得</w:t>
            </w: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</w:rPr>
              <w:t>分</w:t>
            </w:r>
            <w:r>
              <w:rPr>
                <w:rFonts w:hint="eastAsia" w:ascii="仿宋" w:hAnsi="仿宋" w:eastAsia="仿宋" w:cs="宋体"/>
                <w:sz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6" w:hRule="atLeast"/>
          <w:jc w:val="center"/>
        </w:trPr>
        <w:tc>
          <w:tcPr>
            <w:tcW w:w="1670" w:type="dxa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z w:val="24"/>
              </w:rPr>
            </w:pPr>
          </w:p>
        </w:tc>
        <w:tc>
          <w:tcPr>
            <w:tcW w:w="2645" w:type="dxa"/>
            <w:gridSpan w:val="2"/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sz w:val="24"/>
              </w:rPr>
              <w:t>分</w:t>
            </w:r>
          </w:p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z w:val="24"/>
              </w:rPr>
            </w:pPr>
          </w:p>
        </w:tc>
        <w:tc>
          <w:tcPr>
            <w:tcW w:w="5941" w:type="dxa"/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投标人每提供一份自</w:t>
            </w:r>
            <w:r>
              <w:rPr>
                <w:rFonts w:ascii="仿宋" w:hAnsi="仿宋" w:eastAsia="仿宋" w:cs="宋体"/>
                <w:sz w:val="24"/>
              </w:rPr>
              <w:t>20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20</w:t>
            </w:r>
            <w:r>
              <w:rPr>
                <w:rFonts w:hint="eastAsia" w:ascii="仿宋" w:hAnsi="仿宋" w:eastAsia="仿宋" w:cs="宋体"/>
                <w:sz w:val="24"/>
              </w:rPr>
              <w:t>年</w:t>
            </w:r>
            <w:r>
              <w:rPr>
                <w:rFonts w:ascii="仿宋" w:hAnsi="仿宋" w:eastAsia="仿宋" w:cs="宋体"/>
                <w:sz w:val="24"/>
              </w:rPr>
              <w:t>1</w:t>
            </w:r>
            <w:r>
              <w:rPr>
                <w:rFonts w:hint="eastAsia" w:ascii="仿宋" w:hAnsi="仿宋" w:eastAsia="仿宋" w:cs="宋体"/>
                <w:sz w:val="24"/>
              </w:rPr>
              <w:t>月</w:t>
            </w:r>
            <w:r>
              <w:rPr>
                <w:rFonts w:ascii="仿宋" w:hAnsi="仿宋" w:eastAsia="仿宋" w:cs="宋体"/>
                <w:sz w:val="24"/>
              </w:rPr>
              <w:t>1</w:t>
            </w:r>
            <w:r>
              <w:rPr>
                <w:rFonts w:hint="eastAsia" w:ascii="仿宋" w:hAnsi="仿宋" w:eastAsia="仿宋" w:cs="宋体"/>
                <w:sz w:val="24"/>
              </w:rPr>
              <w:t>日以来</w:t>
            </w:r>
            <w:r>
              <w:rPr>
                <w:rFonts w:hint="eastAsia" w:ascii="仿宋" w:hAnsi="仿宋" w:eastAsia="仿宋" w:cs="宋体"/>
                <w:sz w:val="24"/>
                <w:lang w:eastAsia="zh-CN"/>
              </w:rPr>
              <w:t>医院计量校准</w:t>
            </w:r>
            <w:r>
              <w:rPr>
                <w:rFonts w:hint="eastAsia" w:ascii="仿宋" w:hAnsi="仿宋" w:eastAsia="仿宋" w:cs="宋体"/>
                <w:sz w:val="24"/>
              </w:rPr>
              <w:t>项目</w:t>
            </w:r>
            <w:r>
              <w:rPr>
                <w:rFonts w:hint="eastAsia" w:ascii="仿宋" w:hAnsi="仿宋" w:eastAsia="仿宋" w:cs="宋体"/>
                <w:sz w:val="24"/>
                <w:lang w:eastAsia="zh-CN"/>
              </w:rPr>
              <w:t>合作</w:t>
            </w:r>
            <w:r>
              <w:rPr>
                <w:rFonts w:hint="eastAsia" w:ascii="仿宋" w:hAnsi="仿宋" w:eastAsia="仿宋" w:cs="宋体"/>
                <w:sz w:val="24"/>
              </w:rPr>
              <w:t>合同</w:t>
            </w:r>
            <w:r>
              <w:rPr>
                <w:rFonts w:hint="eastAsia" w:ascii="仿宋" w:hAnsi="仿宋" w:eastAsia="仿宋" w:cs="宋体"/>
                <w:sz w:val="24"/>
                <w:lang w:eastAsia="zh-CN"/>
              </w:rPr>
              <w:t>或合作发票</w:t>
            </w:r>
            <w:r>
              <w:rPr>
                <w:rFonts w:hint="eastAsia" w:ascii="仿宋" w:hAnsi="仿宋" w:eastAsia="仿宋" w:cs="宋体"/>
                <w:sz w:val="24"/>
              </w:rPr>
              <w:t>得</w:t>
            </w:r>
            <w:r>
              <w:rPr>
                <w:rFonts w:ascii="仿宋" w:hAnsi="仿宋" w:eastAsia="仿宋" w:cs="宋体"/>
                <w:sz w:val="24"/>
              </w:rPr>
              <w:t>1</w:t>
            </w:r>
            <w:r>
              <w:rPr>
                <w:rFonts w:hint="eastAsia" w:ascii="仿宋" w:hAnsi="仿宋" w:eastAsia="仿宋" w:cs="宋体"/>
                <w:sz w:val="24"/>
              </w:rPr>
              <w:t>分，最多得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sz w:val="24"/>
              </w:rPr>
              <w:t>分。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14DC6A41"/>
    <w:rsid w:val="051060E9"/>
    <w:rsid w:val="14DC6A41"/>
    <w:rsid w:val="2670779A"/>
    <w:rsid w:val="28EA4593"/>
    <w:rsid w:val="2A785A43"/>
    <w:rsid w:val="3AD32B36"/>
    <w:rsid w:val="3F5707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djustRightInd w:val="0"/>
      <w:spacing w:line="360" w:lineRule="auto"/>
    </w:pPr>
    <w:rPr>
      <w:rFonts w:ascii="宋体"/>
      <w:bCs/>
      <w:iCs/>
      <w:color w:val="FF00FF"/>
      <w:kern w:val="44"/>
      <w:sz w:val="28"/>
      <w:szCs w:val="20"/>
    </w:rPr>
  </w:style>
  <w:style w:type="paragraph" w:styleId="3">
    <w:name w:val="Body Text First Indent"/>
    <w:basedOn w:val="2"/>
    <w:qFormat/>
    <w:uiPriority w:val="99"/>
    <w:pPr>
      <w:tabs>
        <w:tab w:val="center" w:pos="2185"/>
      </w:tabs>
      <w:adjustRightInd/>
      <w:spacing w:before="50" w:beforeLines="50" w:line="300" w:lineRule="auto"/>
      <w:ind w:firstLine="200" w:firstLineChars="200"/>
    </w:pPr>
    <w:rPr>
      <w:rFonts w:ascii="楷体_GB2312" w:eastAsia="楷体_GB2312"/>
      <w:bCs w:val="0"/>
      <w:iCs w:val="0"/>
      <w:color w:val="auto"/>
      <w:spacing w:val="4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943</Words>
  <Characters>1001</Characters>
  <Lines>0</Lines>
  <Paragraphs>0</Paragraphs>
  <TotalTime>3</TotalTime>
  <ScaleCrop>false</ScaleCrop>
  <LinksUpToDate>false</LinksUpToDate>
  <CharactersWithSpaces>1003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2021-04-25T07:37:00Z</dcterms:created>
  <dc:creator>daping</dc:creator>
  <cp:lastModifiedBy>svfly</cp:lastModifiedBy>
  <dcterms:modified xsi:type="dcterms:W3CDTF">2023-05-10T07:47:48Z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9BE8DAFA28C54B2C9919150E18EF8B23_13</vt:lpwstr>
  </property>
</Properties>
</file>