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hAnsi="仿宋_GB2312" w:eastAsia="仿宋_GB2312" w:cs="仿宋_GB2312"/>
          <w:sz w:val="32"/>
          <w:szCs w:val="32"/>
        </w:rPr>
      </w:pPr>
      <w:r>
        <w:rPr>
          <w:rFonts w:hint="eastAsia" w:ascii="方正小标宋_GBK" w:hAnsi="方正小标宋_GBK" w:eastAsia="方正小标宋_GBK" w:cs="方正小标宋_GBK"/>
          <w:b/>
          <w:bCs/>
          <w:sz w:val="36"/>
          <w:szCs w:val="36"/>
        </w:rPr>
        <w:t>需求内容-2022年度审计服务</w:t>
      </w:r>
    </w:p>
    <w:p>
      <w:pPr>
        <w:pStyle w:val="5"/>
        <w:ind w:firstLine="643"/>
        <w:rPr>
          <w:rFonts w:ascii="仿宋_GB2312" w:hAnsi="仿宋_GB2312" w:eastAsia="仿宋_GB2312" w:cs="仿宋_GB2312"/>
          <w:b/>
          <w:bCs/>
          <w:sz w:val="32"/>
          <w:szCs w:val="32"/>
        </w:rPr>
      </w:pPr>
      <w:r>
        <w:rPr>
          <w:rFonts w:ascii="仿宋_GB2312" w:hAnsi="仿宋_GB2312" w:eastAsia="仿宋_GB2312" w:cs="仿宋_GB2312"/>
          <w:b/>
          <w:bCs/>
          <w:sz w:val="32"/>
          <w:szCs w:val="32"/>
        </w:rPr>
        <w:t>一、项目内容：根据工作安排，拟委托具备独立执业资格的会计师事务所开展审计服务，主要包括以下项目：</w:t>
      </w:r>
    </w:p>
    <w:tbl>
      <w:tblPr>
        <w:tblStyle w:val="3"/>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24"/>
        <w:gridCol w:w="36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jc w:val="left"/>
              <w:rPr>
                <w:b/>
                <w:bCs/>
                <w:sz w:val="28"/>
                <w:szCs w:val="28"/>
              </w:rPr>
            </w:pPr>
            <w:r>
              <w:rPr>
                <w:rFonts w:hint="eastAsia"/>
                <w:b/>
                <w:bCs/>
                <w:sz w:val="28"/>
                <w:szCs w:val="28"/>
              </w:rPr>
              <w:t>一</w:t>
            </w:r>
            <w:r>
              <w:rPr>
                <w:b/>
                <w:bCs/>
                <w:sz w:val="28"/>
                <w:szCs w:val="28"/>
              </w:rPr>
              <w:t>、</w:t>
            </w:r>
            <w:r>
              <w:rPr>
                <w:rFonts w:hint="eastAsia"/>
                <w:b/>
                <w:bCs/>
                <w:sz w:val="28"/>
                <w:szCs w:val="28"/>
              </w:rPr>
              <w:t>单项</w:t>
            </w:r>
          </w:p>
        </w:tc>
        <w:tc>
          <w:tcPr>
            <w:tcW w:w="3685" w:type="dxa"/>
          </w:tcPr>
          <w:p>
            <w:pPr>
              <w:jc w:val="center"/>
              <w:rPr>
                <w:b/>
                <w:sz w:val="28"/>
                <w:szCs w:val="28"/>
              </w:rPr>
            </w:pPr>
            <w:r>
              <w:rPr>
                <w:rFonts w:hint="eastAsia"/>
                <w:b/>
                <w:sz w:val="28"/>
                <w:szCs w:val="28"/>
              </w:rPr>
              <w:t>项目金额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rPr>
                <w:sz w:val="28"/>
                <w:szCs w:val="28"/>
              </w:rPr>
            </w:pPr>
            <w:r>
              <w:rPr>
                <w:rFonts w:hint="eastAsia"/>
                <w:sz w:val="28"/>
                <w:szCs w:val="28"/>
              </w:rPr>
              <w:t>2</w:t>
            </w:r>
            <w:r>
              <w:rPr>
                <w:sz w:val="28"/>
                <w:szCs w:val="28"/>
              </w:rPr>
              <w:t>022</w:t>
            </w:r>
            <w:r>
              <w:rPr>
                <w:rFonts w:hint="eastAsia"/>
                <w:sz w:val="28"/>
                <w:szCs w:val="28"/>
              </w:rPr>
              <w:t>年度医院财务收支审计</w:t>
            </w:r>
          </w:p>
        </w:tc>
        <w:tc>
          <w:tcPr>
            <w:tcW w:w="3685" w:type="dxa"/>
          </w:tcPr>
          <w:p>
            <w:pPr>
              <w:wordWrap w:val="0"/>
              <w:jc w:val="right"/>
              <w:rPr>
                <w:b/>
                <w:sz w:val="28"/>
                <w:szCs w:val="28"/>
              </w:rPr>
            </w:pPr>
            <w:r>
              <w:rPr>
                <w:b/>
                <w:sz w:val="28"/>
                <w:szCs w:val="28"/>
              </w:rPr>
              <w:t>5.05</w:t>
            </w:r>
            <w:r>
              <w:rPr>
                <w:rFonts w:hint="eastAsia"/>
                <w:b/>
                <w:sz w:val="28"/>
                <w:szCs w:val="28"/>
              </w:rPr>
              <w:t>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rPr>
                <w:sz w:val="28"/>
                <w:szCs w:val="28"/>
              </w:rPr>
            </w:pPr>
            <w:r>
              <w:rPr>
                <w:rFonts w:hint="eastAsia"/>
                <w:sz w:val="28"/>
                <w:szCs w:val="28"/>
              </w:rPr>
              <w:t>2</w:t>
            </w:r>
            <w:r>
              <w:rPr>
                <w:sz w:val="28"/>
                <w:szCs w:val="28"/>
              </w:rPr>
              <w:t>022</w:t>
            </w:r>
            <w:r>
              <w:rPr>
                <w:rFonts w:hint="eastAsia"/>
                <w:sz w:val="28"/>
                <w:szCs w:val="28"/>
              </w:rPr>
              <w:t>年度医院工会财务收支审计</w:t>
            </w:r>
          </w:p>
        </w:tc>
        <w:tc>
          <w:tcPr>
            <w:tcW w:w="3685" w:type="dxa"/>
          </w:tcPr>
          <w:p>
            <w:pPr>
              <w:jc w:val="right"/>
              <w:rPr>
                <w:b/>
                <w:sz w:val="28"/>
                <w:szCs w:val="28"/>
              </w:rPr>
            </w:pPr>
            <w:r>
              <w:rPr>
                <w:rFonts w:hint="eastAsia"/>
                <w:b/>
                <w:sz w:val="28"/>
                <w:szCs w:val="28"/>
              </w:rPr>
              <w:t>83.14万</w:t>
            </w:r>
            <w:r>
              <w:rPr>
                <w:b/>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rPr>
                <w:b/>
                <w:sz w:val="28"/>
                <w:szCs w:val="28"/>
              </w:rPr>
            </w:pPr>
            <w:r>
              <w:rPr>
                <w:rFonts w:hint="eastAsia"/>
                <w:b/>
                <w:sz w:val="28"/>
                <w:szCs w:val="28"/>
              </w:rPr>
              <w:t>二</w:t>
            </w:r>
            <w:r>
              <w:rPr>
                <w:b/>
                <w:sz w:val="28"/>
                <w:szCs w:val="28"/>
              </w:rPr>
              <w:t>、</w:t>
            </w:r>
            <w:r>
              <w:rPr>
                <w:rFonts w:hint="eastAsia"/>
                <w:b/>
                <w:sz w:val="28"/>
                <w:szCs w:val="28"/>
              </w:rPr>
              <w:t>政</w:t>
            </w:r>
            <w:r>
              <w:rPr>
                <w:b/>
                <w:sz w:val="28"/>
                <w:szCs w:val="28"/>
              </w:rPr>
              <w:t>府采购项目</w:t>
            </w:r>
          </w:p>
        </w:tc>
        <w:tc>
          <w:tcPr>
            <w:tcW w:w="3685" w:type="dxa"/>
          </w:tcPr>
          <w:p>
            <w:pPr>
              <w:jc w:val="right"/>
              <w:rPr>
                <w:b/>
                <w:sz w:val="28"/>
                <w:szCs w:val="28"/>
              </w:rPr>
            </w:pPr>
            <w:r>
              <w:rPr>
                <w:rFonts w:hint="eastAsia"/>
                <w:b/>
                <w:sz w:val="28"/>
                <w:szCs w:val="28"/>
              </w:rPr>
              <w:t>1690.68万</w:t>
            </w:r>
            <w:r>
              <w:rPr>
                <w:b/>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rPr>
                <w:sz w:val="28"/>
                <w:szCs w:val="28"/>
              </w:rPr>
            </w:pPr>
            <w:r>
              <w:rPr>
                <w:rFonts w:hint="eastAsia"/>
                <w:sz w:val="28"/>
                <w:szCs w:val="28"/>
              </w:rPr>
              <w:t>1、</w:t>
            </w:r>
            <w:r>
              <w:rPr>
                <w:sz w:val="28"/>
                <w:szCs w:val="28"/>
              </w:rPr>
              <w:t>引导</w:t>
            </w:r>
            <w:r>
              <w:rPr>
                <w:rFonts w:hint="eastAsia"/>
                <w:sz w:val="28"/>
                <w:szCs w:val="28"/>
              </w:rPr>
              <w:t>岗</w:t>
            </w:r>
            <w:r>
              <w:rPr>
                <w:sz w:val="28"/>
                <w:szCs w:val="28"/>
              </w:rPr>
              <w:t>服务（</w:t>
            </w:r>
            <w:r>
              <w:rPr>
                <w:rFonts w:hint="eastAsia"/>
                <w:sz w:val="28"/>
                <w:szCs w:val="28"/>
              </w:rPr>
              <w:t>外</w:t>
            </w:r>
            <w:r>
              <w:rPr>
                <w:sz w:val="28"/>
                <w:szCs w:val="28"/>
              </w:rPr>
              <w:t>包服务三年）</w:t>
            </w:r>
          </w:p>
        </w:tc>
        <w:tc>
          <w:tcPr>
            <w:tcW w:w="3685" w:type="dxa"/>
          </w:tcPr>
          <w:p>
            <w:pPr>
              <w:jc w:val="right"/>
              <w:rPr>
                <w:sz w:val="28"/>
                <w:szCs w:val="28"/>
              </w:rPr>
            </w:pPr>
            <w:r>
              <w:rPr>
                <w:rFonts w:hint="eastAsia"/>
                <w:sz w:val="28"/>
                <w:szCs w:val="28"/>
              </w:rPr>
              <w:t>1014.42万</w:t>
            </w:r>
            <w:r>
              <w:rPr>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rPr>
                <w:sz w:val="28"/>
                <w:szCs w:val="28"/>
              </w:rPr>
            </w:pPr>
            <w:r>
              <w:rPr>
                <w:rFonts w:hint="eastAsia"/>
                <w:sz w:val="28"/>
                <w:szCs w:val="28"/>
              </w:rPr>
              <w:t>2、口</w:t>
            </w:r>
            <w:r>
              <w:rPr>
                <w:sz w:val="28"/>
                <w:szCs w:val="28"/>
              </w:rPr>
              <w:t>腔综合治疗台</w:t>
            </w:r>
            <w:r>
              <w:rPr>
                <w:rFonts w:hint="eastAsia"/>
                <w:sz w:val="28"/>
                <w:szCs w:val="28"/>
              </w:rPr>
              <w:t>51台</w:t>
            </w:r>
          </w:p>
        </w:tc>
        <w:tc>
          <w:tcPr>
            <w:tcW w:w="3685" w:type="dxa"/>
          </w:tcPr>
          <w:p>
            <w:pPr>
              <w:jc w:val="right"/>
              <w:rPr>
                <w:sz w:val="28"/>
                <w:szCs w:val="28"/>
              </w:rPr>
            </w:pPr>
            <w:r>
              <w:rPr>
                <w:rFonts w:hint="eastAsia"/>
                <w:sz w:val="28"/>
                <w:szCs w:val="28"/>
              </w:rPr>
              <w:t>421.60万</w:t>
            </w:r>
            <w:r>
              <w:rPr>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rPr>
                <w:sz w:val="28"/>
                <w:szCs w:val="28"/>
              </w:rPr>
            </w:pPr>
            <w:r>
              <w:rPr>
                <w:sz w:val="28"/>
                <w:szCs w:val="28"/>
              </w:rPr>
              <w:t>3</w:t>
            </w:r>
            <w:r>
              <w:rPr>
                <w:rFonts w:hint="eastAsia"/>
                <w:sz w:val="28"/>
                <w:szCs w:val="28"/>
              </w:rPr>
              <w:t>、口</w:t>
            </w:r>
            <w:r>
              <w:rPr>
                <w:sz w:val="28"/>
                <w:szCs w:val="28"/>
              </w:rPr>
              <w:t>腔综合治疗台</w:t>
            </w:r>
            <w:r>
              <w:rPr>
                <w:rFonts w:hint="eastAsia"/>
                <w:sz w:val="28"/>
                <w:szCs w:val="28"/>
              </w:rPr>
              <w:t>17台</w:t>
            </w:r>
          </w:p>
        </w:tc>
        <w:tc>
          <w:tcPr>
            <w:tcW w:w="3685" w:type="dxa"/>
          </w:tcPr>
          <w:p>
            <w:pPr>
              <w:jc w:val="right"/>
              <w:rPr>
                <w:sz w:val="28"/>
                <w:szCs w:val="28"/>
              </w:rPr>
            </w:pPr>
            <w:r>
              <w:rPr>
                <w:rFonts w:hint="eastAsia"/>
                <w:sz w:val="28"/>
                <w:szCs w:val="28"/>
              </w:rPr>
              <w:t>254.66万</w:t>
            </w:r>
            <w:r>
              <w:rPr>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pStyle w:val="5"/>
              <w:numPr>
                <w:ilvl w:val="0"/>
                <w:numId w:val="1"/>
              </w:numPr>
              <w:ind w:firstLineChars="0"/>
              <w:rPr>
                <w:b/>
                <w:bCs/>
                <w:sz w:val="28"/>
                <w:szCs w:val="28"/>
              </w:rPr>
            </w:pPr>
            <w:r>
              <w:rPr>
                <w:rFonts w:hint="eastAsia"/>
                <w:b/>
                <w:bCs/>
                <w:sz w:val="28"/>
                <w:szCs w:val="28"/>
              </w:rPr>
              <w:t>专项审计</w:t>
            </w:r>
          </w:p>
        </w:tc>
        <w:tc>
          <w:tcPr>
            <w:tcW w:w="3685" w:type="dxa"/>
          </w:tcPr>
          <w:p>
            <w:pPr>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rPr>
                <w:b/>
                <w:sz w:val="28"/>
                <w:szCs w:val="28"/>
              </w:rPr>
            </w:pPr>
            <w:r>
              <w:rPr>
                <w:rFonts w:hint="eastAsia"/>
                <w:b/>
                <w:sz w:val="28"/>
                <w:szCs w:val="28"/>
              </w:rPr>
              <w:t>1、集美院区采购审计（3</w:t>
            </w:r>
            <w:r>
              <w:rPr>
                <w:b/>
                <w:sz w:val="28"/>
                <w:szCs w:val="28"/>
              </w:rPr>
              <w:t>7</w:t>
            </w:r>
            <w:r>
              <w:rPr>
                <w:rFonts w:hint="eastAsia"/>
                <w:b/>
                <w:sz w:val="28"/>
                <w:szCs w:val="28"/>
              </w:rPr>
              <w:t>项）</w:t>
            </w:r>
          </w:p>
        </w:tc>
        <w:tc>
          <w:tcPr>
            <w:tcW w:w="3685" w:type="dxa"/>
          </w:tcPr>
          <w:p>
            <w:pPr>
              <w:jc w:val="right"/>
              <w:rPr>
                <w:b/>
                <w:sz w:val="28"/>
                <w:szCs w:val="28"/>
              </w:rPr>
            </w:pPr>
            <w:r>
              <w:rPr>
                <w:rFonts w:hint="eastAsia"/>
                <w:b/>
                <w:sz w:val="28"/>
                <w:szCs w:val="28"/>
              </w:rPr>
              <w:t>1763.64万</w:t>
            </w:r>
            <w:r>
              <w:rPr>
                <w:b/>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tabs>
                <w:tab w:val="left" w:pos="4425"/>
              </w:tabs>
              <w:rPr>
                <w:b/>
                <w:sz w:val="28"/>
                <w:szCs w:val="28"/>
              </w:rPr>
            </w:pPr>
            <w:r>
              <w:rPr>
                <w:rFonts w:hint="eastAsia"/>
                <w:b/>
                <w:sz w:val="28"/>
                <w:szCs w:val="28"/>
              </w:rPr>
              <w:t>2、信</w:t>
            </w:r>
            <w:r>
              <w:rPr>
                <w:b/>
                <w:sz w:val="28"/>
                <w:szCs w:val="28"/>
              </w:rPr>
              <w:t>息建设</w:t>
            </w:r>
            <w:r>
              <w:rPr>
                <w:rFonts w:hint="eastAsia"/>
                <w:b/>
                <w:sz w:val="28"/>
                <w:szCs w:val="28"/>
              </w:rPr>
              <w:t>经</w:t>
            </w:r>
            <w:r>
              <w:rPr>
                <w:b/>
                <w:sz w:val="28"/>
                <w:szCs w:val="28"/>
              </w:rPr>
              <w:t>费审计</w:t>
            </w:r>
            <w:r>
              <w:rPr>
                <w:b/>
                <w:sz w:val="28"/>
                <w:szCs w:val="28"/>
              </w:rPr>
              <w:tab/>
            </w:r>
          </w:p>
        </w:tc>
        <w:tc>
          <w:tcPr>
            <w:tcW w:w="3685" w:type="dxa"/>
          </w:tcPr>
          <w:p>
            <w:pPr>
              <w:jc w:val="right"/>
              <w:rPr>
                <w:b/>
                <w:sz w:val="28"/>
                <w:szCs w:val="28"/>
              </w:rPr>
            </w:pPr>
            <w:r>
              <w:rPr>
                <w:rFonts w:hint="eastAsia"/>
                <w:b/>
                <w:sz w:val="28"/>
                <w:szCs w:val="28"/>
              </w:rPr>
              <w:t>3</w:t>
            </w:r>
            <w:r>
              <w:rPr>
                <w:b/>
                <w:sz w:val="28"/>
                <w:szCs w:val="28"/>
              </w:rPr>
              <w:t>49.18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rPr>
                <w:sz w:val="28"/>
                <w:szCs w:val="28"/>
              </w:rPr>
            </w:pPr>
            <w:r>
              <w:rPr>
                <w:sz w:val="28"/>
                <w:szCs w:val="28"/>
              </w:rPr>
              <w:t>1</w:t>
            </w:r>
            <w:r>
              <w:rPr>
                <w:rFonts w:hint="eastAsia"/>
                <w:sz w:val="28"/>
                <w:szCs w:val="28"/>
              </w:rPr>
              <w:t>.存储服务器扩容</w:t>
            </w:r>
          </w:p>
        </w:tc>
        <w:tc>
          <w:tcPr>
            <w:tcW w:w="3685" w:type="dxa"/>
          </w:tcPr>
          <w:p>
            <w:pPr>
              <w:jc w:val="right"/>
              <w:rPr>
                <w:sz w:val="28"/>
                <w:szCs w:val="28"/>
              </w:rPr>
            </w:pPr>
            <w:r>
              <w:rPr>
                <w:rFonts w:hint="eastAsia"/>
                <w:sz w:val="28"/>
                <w:szCs w:val="28"/>
              </w:rPr>
              <w:t>97.5</w:t>
            </w:r>
            <w:r>
              <w:rPr>
                <w:sz w:val="28"/>
                <w:szCs w:val="28"/>
              </w:rPr>
              <w:t>0</w:t>
            </w:r>
            <w:r>
              <w:rPr>
                <w:rFonts w:hint="eastAsia"/>
                <w:sz w:val="28"/>
                <w:szCs w:val="28"/>
              </w:rPr>
              <w:t>万</w:t>
            </w:r>
            <w:r>
              <w:rPr>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rPr>
                <w:sz w:val="28"/>
                <w:szCs w:val="28"/>
              </w:rPr>
            </w:pPr>
            <w:r>
              <w:rPr>
                <w:rFonts w:hint="eastAsia"/>
                <w:sz w:val="28"/>
                <w:szCs w:val="28"/>
              </w:rPr>
              <w:t>2.信息系统动态防护安全设备</w:t>
            </w:r>
          </w:p>
        </w:tc>
        <w:tc>
          <w:tcPr>
            <w:tcW w:w="3685" w:type="dxa"/>
          </w:tcPr>
          <w:p>
            <w:pPr>
              <w:jc w:val="right"/>
              <w:rPr>
                <w:sz w:val="28"/>
                <w:szCs w:val="28"/>
              </w:rPr>
            </w:pPr>
            <w:r>
              <w:rPr>
                <w:rFonts w:hint="eastAsia"/>
                <w:sz w:val="28"/>
                <w:szCs w:val="28"/>
              </w:rPr>
              <w:t>84.9</w:t>
            </w:r>
            <w:r>
              <w:rPr>
                <w:sz w:val="28"/>
                <w:szCs w:val="28"/>
              </w:rPr>
              <w:t>0</w:t>
            </w:r>
            <w:r>
              <w:rPr>
                <w:rFonts w:hint="eastAsia"/>
                <w:sz w:val="28"/>
                <w:szCs w:val="28"/>
              </w:rPr>
              <w:t>万</w:t>
            </w:r>
            <w:r>
              <w:rPr>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rPr>
                <w:sz w:val="28"/>
                <w:szCs w:val="28"/>
              </w:rPr>
            </w:pPr>
            <w:r>
              <w:rPr>
                <w:rFonts w:hint="eastAsia"/>
                <w:sz w:val="28"/>
                <w:szCs w:val="28"/>
              </w:rPr>
              <w:t>3.院内无线网络建设</w:t>
            </w:r>
          </w:p>
        </w:tc>
        <w:tc>
          <w:tcPr>
            <w:tcW w:w="3685" w:type="dxa"/>
          </w:tcPr>
          <w:p>
            <w:pPr>
              <w:jc w:val="right"/>
              <w:rPr>
                <w:sz w:val="28"/>
                <w:szCs w:val="28"/>
              </w:rPr>
            </w:pPr>
            <w:r>
              <w:rPr>
                <w:rFonts w:hint="eastAsia"/>
                <w:sz w:val="28"/>
                <w:szCs w:val="28"/>
              </w:rPr>
              <w:t>54.38万</w:t>
            </w:r>
            <w:r>
              <w:rPr>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rPr>
                <w:sz w:val="28"/>
                <w:szCs w:val="28"/>
              </w:rPr>
            </w:pPr>
            <w:r>
              <w:rPr>
                <w:rFonts w:hint="eastAsia"/>
                <w:sz w:val="28"/>
                <w:szCs w:val="28"/>
              </w:rPr>
              <w:t>4.下一代云桌面系统</w:t>
            </w:r>
          </w:p>
        </w:tc>
        <w:tc>
          <w:tcPr>
            <w:tcW w:w="3685" w:type="dxa"/>
          </w:tcPr>
          <w:p>
            <w:pPr>
              <w:jc w:val="right"/>
              <w:rPr>
                <w:sz w:val="28"/>
                <w:szCs w:val="28"/>
              </w:rPr>
            </w:pPr>
            <w:r>
              <w:rPr>
                <w:rFonts w:hint="eastAsia"/>
                <w:sz w:val="28"/>
                <w:szCs w:val="28"/>
              </w:rPr>
              <w:t>49.7</w:t>
            </w:r>
            <w:r>
              <w:rPr>
                <w:sz w:val="28"/>
                <w:szCs w:val="28"/>
              </w:rPr>
              <w:t>0</w:t>
            </w:r>
            <w:r>
              <w:rPr>
                <w:rFonts w:hint="eastAsia"/>
                <w:sz w:val="28"/>
                <w:szCs w:val="28"/>
              </w:rPr>
              <w:t>万</w:t>
            </w:r>
            <w:r>
              <w:rPr>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rPr>
                <w:sz w:val="28"/>
                <w:szCs w:val="28"/>
              </w:rPr>
            </w:pPr>
            <w:r>
              <w:rPr>
                <w:rFonts w:hint="eastAsia"/>
                <w:sz w:val="28"/>
                <w:szCs w:val="28"/>
              </w:rPr>
              <w:t>5.云容灾备份</w:t>
            </w:r>
          </w:p>
        </w:tc>
        <w:tc>
          <w:tcPr>
            <w:tcW w:w="3685" w:type="dxa"/>
          </w:tcPr>
          <w:p>
            <w:pPr>
              <w:jc w:val="right"/>
              <w:rPr>
                <w:sz w:val="28"/>
                <w:szCs w:val="28"/>
              </w:rPr>
            </w:pPr>
            <w:r>
              <w:rPr>
                <w:rFonts w:hint="eastAsia"/>
                <w:sz w:val="28"/>
                <w:szCs w:val="28"/>
              </w:rPr>
              <w:t>35.9</w:t>
            </w:r>
            <w:r>
              <w:rPr>
                <w:sz w:val="28"/>
                <w:szCs w:val="28"/>
              </w:rPr>
              <w:t>0</w:t>
            </w:r>
            <w:r>
              <w:rPr>
                <w:rFonts w:hint="eastAsia"/>
                <w:sz w:val="28"/>
                <w:szCs w:val="28"/>
              </w:rPr>
              <w:t>万</w:t>
            </w:r>
            <w:r>
              <w:rPr>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4" w:type="dxa"/>
          </w:tcPr>
          <w:p>
            <w:pPr>
              <w:rPr>
                <w:sz w:val="28"/>
                <w:szCs w:val="28"/>
              </w:rPr>
            </w:pPr>
            <w:r>
              <w:rPr>
                <w:rFonts w:hint="eastAsia"/>
                <w:sz w:val="28"/>
                <w:szCs w:val="28"/>
              </w:rPr>
              <w:t>6.门诊语音电子病历维保</w:t>
            </w:r>
          </w:p>
        </w:tc>
        <w:tc>
          <w:tcPr>
            <w:tcW w:w="3685" w:type="dxa"/>
          </w:tcPr>
          <w:p>
            <w:pPr>
              <w:jc w:val="right"/>
              <w:rPr>
                <w:sz w:val="28"/>
                <w:szCs w:val="28"/>
              </w:rPr>
            </w:pPr>
            <w:r>
              <w:rPr>
                <w:rFonts w:hint="eastAsia"/>
                <w:sz w:val="28"/>
                <w:szCs w:val="28"/>
              </w:rPr>
              <w:t>26.8</w:t>
            </w:r>
            <w:r>
              <w:rPr>
                <w:sz w:val="28"/>
                <w:szCs w:val="28"/>
              </w:rPr>
              <w:t>0</w:t>
            </w:r>
            <w:r>
              <w:rPr>
                <w:rFonts w:hint="eastAsia"/>
                <w:sz w:val="28"/>
                <w:szCs w:val="28"/>
              </w:rPr>
              <w:t>万</w:t>
            </w:r>
            <w:r>
              <w:rPr>
                <w:sz w:val="28"/>
                <w:szCs w:val="28"/>
              </w:rPr>
              <w:t>元</w:t>
            </w:r>
          </w:p>
        </w:tc>
      </w:tr>
    </w:tbl>
    <w:p>
      <w:pPr>
        <w:pStyle w:val="5"/>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二、受托审计机构要求</w:t>
      </w:r>
    </w:p>
    <w:p>
      <w:pPr>
        <w:ind w:left="5" w:firstLine="579" w:firstLineChars="181"/>
        <w:rPr>
          <w:rFonts w:ascii="仿宋_GB2312" w:hAnsi="仿宋_GB2312" w:eastAsia="仿宋_GB2312" w:cs="仿宋_GB2312"/>
          <w:sz w:val="32"/>
          <w:szCs w:val="32"/>
        </w:rPr>
      </w:pPr>
      <w:r>
        <w:rPr>
          <w:rFonts w:hint="eastAsia" w:ascii="仿宋_GB2312" w:hAnsi="仿宋_GB2312" w:eastAsia="仿宋_GB2312" w:cs="仿宋_GB2312"/>
          <w:sz w:val="32"/>
          <w:szCs w:val="32"/>
        </w:rPr>
        <w:t>1.须具备独立执业资格的会计师事务所（需提供营业执照、执业证书、法人证书等相关证件的复印件）；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2.近3年内，有审计过大型医院或行政事业单位；</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3.进场审计组人员固定，不含项目负责人，进场人数不少于3人，若需更换人员需经招标单位同意，审计组负责人须为注册会计师；进场工作人员须为会计或审计专业人员。</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在参与本次政府购买服务前三年内无重大违法违纪行为，在“信用厦门”、“失信被执行人联合惩戒平台”中无失信被执行人联合惩戒行为，社会信誉、商业信誉良好。被我市有关部门在规定的时间里取消专项审计资格或明确其出具的专项审计报告不予认可的会计师事务所不得参加本次投标活动。</w:t>
      </w:r>
    </w:p>
    <w:p>
      <w:pPr>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b/>
          <w:bCs/>
          <w:sz w:val="32"/>
          <w:szCs w:val="32"/>
        </w:rPr>
        <w:t>审计项目需求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对医院202</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年度财务收支和会计核算及采购项目进行审计，及时、真实、完整地编写审计工作底稿，提出改善措施，协助医院促进管理。</w:t>
      </w:r>
    </w:p>
    <w:p>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四、审计报告要求和内容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审计报告的出具须按照中国注册会计师审计准则规定的格式和类型出具审计报告。出具审计报告一式五份，审计时间为进场后两个月内出具正式报告。</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审计报告需包括：</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1.被审计单位基本情况；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2.被审计单位的基本财务状况；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3.财政专项资金使用情况；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4.采购活动合法合规情况；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5.三公经费的使用管理情况；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6.固定资产的使用管理情况；</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7</w:t>
      </w:r>
      <w:r>
        <w:rPr>
          <w:rFonts w:hint="eastAsia" w:ascii="仿宋_GB2312" w:hAnsi="仿宋_GB2312" w:eastAsia="仿宋_GB2312" w:cs="仿宋_GB2312"/>
          <w:sz w:val="32"/>
          <w:szCs w:val="32"/>
        </w:rPr>
        <w:t>.其他需要审计的情况。</w:t>
      </w:r>
    </w:p>
    <w:p>
      <w:pPr>
        <w:rPr>
          <w:rFonts w:ascii="仿宋_GB2312" w:hAnsi="仿宋_GB2312" w:eastAsia="仿宋_GB2312" w:cs="仿宋_GB2312"/>
          <w:sz w:val="32"/>
          <w:szCs w:val="32"/>
        </w:rPr>
      </w:pPr>
      <w:bookmarkStart w:id="0" w:name="_GoBack"/>
      <w:bookmarkEnd w:id="0"/>
      <w:r>
        <w:rPr>
          <w:rFonts w:ascii="仿宋_GB2312" w:hAnsi="仿宋_GB2312" w:eastAsia="仿宋_GB2312" w:cs="仿宋_GB2312"/>
          <w:sz w:val="32"/>
          <w:szCs w:val="32"/>
        </w:rPr>
        <w:br w:type="page"/>
      </w:r>
    </w:p>
    <w:p>
      <w:pPr>
        <w:rPr>
          <w:rFonts w:ascii="仿宋_GB2312" w:hAnsi="仿宋_GB2312" w:eastAsia="仿宋_GB2312" w:cs="仿宋_GB2312"/>
          <w:sz w:val="32"/>
          <w:szCs w:val="32"/>
        </w:rPr>
        <w:sectPr>
          <w:pgSz w:w="11906" w:h="16838"/>
          <w:pgMar w:top="851" w:right="1797" w:bottom="851" w:left="1797" w:header="851" w:footer="992" w:gutter="0"/>
          <w:cols w:space="425" w:num="1"/>
          <w:docGrid w:type="lines" w:linePitch="312" w:charSpace="0"/>
        </w:sectPr>
      </w:pPr>
    </w:p>
    <w:tbl>
      <w:tblPr>
        <w:tblStyle w:val="2"/>
        <w:tblW w:w="15106" w:type="dxa"/>
        <w:tblInd w:w="93" w:type="dxa"/>
        <w:tblLayout w:type="autofit"/>
        <w:tblCellMar>
          <w:top w:w="0" w:type="dxa"/>
          <w:left w:w="108" w:type="dxa"/>
          <w:bottom w:w="0" w:type="dxa"/>
          <w:right w:w="108" w:type="dxa"/>
        </w:tblCellMar>
      </w:tblPr>
      <w:tblGrid>
        <w:gridCol w:w="916"/>
        <w:gridCol w:w="1575"/>
        <w:gridCol w:w="10185"/>
        <w:gridCol w:w="1155"/>
        <w:gridCol w:w="1275"/>
      </w:tblGrid>
      <w:tr>
        <w:tblPrEx>
          <w:tblCellMar>
            <w:top w:w="0" w:type="dxa"/>
            <w:left w:w="108" w:type="dxa"/>
            <w:bottom w:w="0" w:type="dxa"/>
            <w:right w:w="108" w:type="dxa"/>
          </w:tblCellMar>
        </w:tblPrEx>
        <w:trPr>
          <w:trHeight w:val="90" w:hRule="atLeast"/>
        </w:trPr>
        <w:tc>
          <w:tcPr>
            <w:tcW w:w="15106" w:type="dxa"/>
            <w:gridSpan w:val="5"/>
            <w:tcBorders>
              <w:top w:val="nil"/>
              <w:left w:val="nil"/>
              <w:bottom w:val="nil"/>
              <w:right w:val="nil"/>
            </w:tcBorders>
            <w:shd w:val="clear" w:color="auto" w:fill="auto"/>
            <w:vAlign w:val="center"/>
          </w:tcPr>
          <w:p>
            <w:pPr>
              <w:widowControl/>
              <w:jc w:val="center"/>
              <w:textAlignment w:val="center"/>
              <w:rPr>
                <w:rFonts w:ascii="等线" w:hAnsi="等线" w:eastAsia="等线" w:cs="等线"/>
                <w:b/>
                <w:bCs/>
                <w:color w:val="000000"/>
                <w:sz w:val="40"/>
                <w:szCs w:val="40"/>
              </w:rPr>
            </w:pPr>
            <w:r>
              <w:rPr>
                <w:rFonts w:ascii="等线" w:hAnsi="等线" w:eastAsia="等线" w:cs="等线"/>
                <w:b/>
                <w:bCs/>
                <w:color w:val="000000"/>
                <w:kern w:val="0"/>
                <w:sz w:val="40"/>
                <w:szCs w:val="40"/>
                <w:lang w:bidi="ar"/>
              </w:rPr>
              <w:t>2022年度审计项目评分表</w:t>
            </w:r>
          </w:p>
        </w:tc>
      </w:tr>
      <w:tr>
        <w:tblPrEx>
          <w:tblCellMar>
            <w:top w:w="0" w:type="dxa"/>
            <w:left w:w="108" w:type="dxa"/>
            <w:bottom w:w="0" w:type="dxa"/>
            <w:right w:w="108" w:type="dxa"/>
          </w:tblCellMar>
        </w:tblPrEx>
        <w:trPr>
          <w:trHeight w:val="904" w:hRule="atLeast"/>
        </w:trPr>
        <w:tc>
          <w:tcPr>
            <w:tcW w:w="916" w:type="dxa"/>
            <w:tcBorders>
              <w:top w:val="single" w:color="000000" w:sz="8" w:space="0"/>
              <w:left w:val="single" w:color="000000" w:sz="8"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b/>
                <w:bCs/>
                <w:color w:val="000000"/>
                <w:sz w:val="28"/>
                <w:szCs w:val="28"/>
              </w:rPr>
            </w:pPr>
            <w:r>
              <w:rPr>
                <w:rFonts w:ascii="等线" w:hAnsi="等线" w:eastAsia="等线" w:cs="等线"/>
                <w:b/>
                <w:bCs/>
                <w:color w:val="000000"/>
                <w:kern w:val="0"/>
                <w:sz w:val="28"/>
                <w:szCs w:val="28"/>
                <w:lang w:bidi="ar"/>
              </w:rPr>
              <w:t>序号</w:t>
            </w:r>
          </w:p>
        </w:tc>
        <w:tc>
          <w:tcPr>
            <w:tcW w:w="1575" w:type="dxa"/>
            <w:tcBorders>
              <w:top w:val="single" w:color="000000" w:sz="8"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b/>
                <w:bCs/>
                <w:color w:val="000000"/>
                <w:sz w:val="28"/>
                <w:szCs w:val="28"/>
              </w:rPr>
            </w:pPr>
            <w:r>
              <w:rPr>
                <w:rFonts w:ascii="等线" w:hAnsi="等线" w:eastAsia="等线" w:cs="等线"/>
                <w:b/>
                <w:bCs/>
                <w:color w:val="000000"/>
                <w:kern w:val="0"/>
                <w:sz w:val="28"/>
                <w:szCs w:val="28"/>
                <w:lang w:bidi="ar"/>
              </w:rPr>
              <w:t>评选内容</w:t>
            </w:r>
          </w:p>
        </w:tc>
        <w:tc>
          <w:tcPr>
            <w:tcW w:w="10185" w:type="dxa"/>
            <w:tcBorders>
              <w:top w:val="single" w:color="000000" w:sz="8"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b/>
                <w:bCs/>
                <w:color w:val="000000"/>
                <w:sz w:val="28"/>
                <w:szCs w:val="28"/>
              </w:rPr>
            </w:pPr>
            <w:r>
              <w:rPr>
                <w:rFonts w:ascii="等线" w:hAnsi="等线" w:eastAsia="等线" w:cs="等线"/>
                <w:b/>
                <w:bCs/>
                <w:color w:val="000000"/>
                <w:kern w:val="0"/>
                <w:sz w:val="28"/>
                <w:szCs w:val="28"/>
                <w:lang w:bidi="ar"/>
              </w:rPr>
              <w:t>具体要求</w:t>
            </w:r>
          </w:p>
        </w:tc>
        <w:tc>
          <w:tcPr>
            <w:tcW w:w="1155" w:type="dxa"/>
            <w:tcBorders>
              <w:top w:val="single" w:color="000000" w:sz="8"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b/>
                <w:bCs/>
                <w:color w:val="000000"/>
                <w:sz w:val="28"/>
                <w:szCs w:val="28"/>
              </w:rPr>
            </w:pPr>
            <w:r>
              <w:rPr>
                <w:rFonts w:ascii="等线" w:hAnsi="等线" w:eastAsia="等线" w:cs="等线"/>
                <w:b/>
                <w:bCs/>
                <w:color w:val="000000"/>
                <w:kern w:val="0"/>
                <w:sz w:val="28"/>
                <w:szCs w:val="28"/>
                <w:lang w:bidi="ar"/>
              </w:rPr>
              <w:t>分值</w:t>
            </w:r>
          </w:p>
        </w:tc>
        <w:tc>
          <w:tcPr>
            <w:tcW w:w="1275" w:type="dxa"/>
            <w:tcBorders>
              <w:top w:val="single" w:color="000000" w:sz="8" w:space="0"/>
              <w:left w:val="single" w:color="000000" w:sz="4" w:space="0"/>
              <w:bottom w:val="single" w:color="000000" w:sz="4" w:space="0"/>
              <w:right w:val="single" w:color="000000" w:sz="8" w:space="0"/>
            </w:tcBorders>
            <w:shd w:val="clear" w:color="auto" w:fill="auto"/>
            <w:vAlign w:val="center"/>
          </w:tcPr>
          <w:p>
            <w:pPr>
              <w:widowControl/>
              <w:jc w:val="center"/>
              <w:textAlignment w:val="center"/>
              <w:rPr>
                <w:rFonts w:ascii="等线" w:hAnsi="等线" w:eastAsia="等线" w:cs="等线"/>
                <w:b/>
                <w:bCs/>
                <w:color w:val="000000"/>
                <w:sz w:val="28"/>
                <w:szCs w:val="28"/>
              </w:rPr>
            </w:pPr>
            <w:r>
              <w:rPr>
                <w:rFonts w:ascii="等线" w:hAnsi="等线" w:eastAsia="等线" w:cs="等线"/>
                <w:b/>
                <w:bCs/>
                <w:color w:val="000000"/>
                <w:kern w:val="0"/>
                <w:sz w:val="28"/>
                <w:szCs w:val="28"/>
                <w:lang w:bidi="ar"/>
              </w:rPr>
              <w:t>得分</w:t>
            </w:r>
          </w:p>
        </w:tc>
      </w:tr>
      <w:tr>
        <w:tblPrEx>
          <w:tblCellMar>
            <w:top w:w="0" w:type="dxa"/>
            <w:left w:w="108" w:type="dxa"/>
            <w:bottom w:w="0" w:type="dxa"/>
            <w:right w:w="108" w:type="dxa"/>
          </w:tblCellMar>
        </w:tblPrEx>
        <w:trPr>
          <w:trHeight w:val="1999" w:hRule="atLeast"/>
        </w:trPr>
        <w:tc>
          <w:tcPr>
            <w:tcW w:w="916" w:type="dxa"/>
            <w:tcBorders>
              <w:top w:val="nil"/>
              <w:left w:val="single" w:color="000000" w:sz="8"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一</w:t>
            </w:r>
          </w:p>
        </w:tc>
        <w:tc>
          <w:tcPr>
            <w:tcW w:w="1575" w:type="dxa"/>
            <w:tcBorders>
              <w:top w:val="nil"/>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报价</w:t>
            </w:r>
          </w:p>
        </w:tc>
        <w:tc>
          <w:tcPr>
            <w:tcW w:w="101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1、通过资格审查和初步评审的投标人的投标报价为有效投标报价；2、投标价格最低的投标报价为评标基准价，价格分得满分。其他投标人价格分=评标基准价/有效投标报价*价格权值*100</w:t>
            </w:r>
          </w:p>
        </w:tc>
        <w:tc>
          <w:tcPr>
            <w:tcW w:w="1155" w:type="dxa"/>
            <w:tcBorders>
              <w:top w:val="nil"/>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10</w:t>
            </w:r>
          </w:p>
        </w:tc>
        <w:tc>
          <w:tcPr>
            <w:tcW w:w="1275" w:type="dxa"/>
            <w:tcBorders>
              <w:top w:val="nil"/>
              <w:left w:val="single" w:color="000000" w:sz="4" w:space="0"/>
              <w:bottom w:val="single" w:color="000000" w:sz="4" w:space="0"/>
              <w:right w:val="single" w:color="000000" w:sz="8" w:space="0"/>
            </w:tcBorders>
            <w:shd w:val="clear" w:color="auto" w:fill="auto"/>
            <w:vAlign w:val="center"/>
          </w:tcPr>
          <w:p>
            <w:pPr>
              <w:jc w:val="center"/>
              <w:rPr>
                <w:rFonts w:ascii="等线" w:hAnsi="等线" w:eastAsia="等线" w:cs="等线"/>
                <w:color w:val="000000"/>
                <w:sz w:val="28"/>
                <w:szCs w:val="28"/>
              </w:rPr>
            </w:pPr>
          </w:p>
        </w:tc>
      </w:tr>
      <w:tr>
        <w:tblPrEx>
          <w:tblCellMar>
            <w:top w:w="0" w:type="dxa"/>
            <w:left w:w="108" w:type="dxa"/>
            <w:bottom w:w="0" w:type="dxa"/>
            <w:right w:w="108" w:type="dxa"/>
          </w:tblCellMar>
        </w:tblPrEx>
        <w:trPr>
          <w:trHeight w:val="1035" w:hRule="atLeast"/>
        </w:trPr>
        <w:tc>
          <w:tcPr>
            <w:tcW w:w="916"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二</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项目组成员配置</w:t>
            </w:r>
          </w:p>
        </w:tc>
        <w:tc>
          <w:tcPr>
            <w:tcW w:w="101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组建固定审计服务团队（不含项目负责人，进场人数不少于3人）</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5</w:t>
            </w:r>
          </w:p>
        </w:tc>
        <w:tc>
          <w:tcPr>
            <w:tcW w:w="1275" w:type="dxa"/>
            <w:tcBorders>
              <w:top w:val="single" w:color="000000" w:sz="4" w:space="0"/>
              <w:left w:val="single" w:color="000000" w:sz="4" w:space="0"/>
              <w:bottom w:val="single" w:color="000000" w:sz="4" w:space="0"/>
              <w:right w:val="single" w:color="000000" w:sz="8" w:space="0"/>
            </w:tcBorders>
            <w:shd w:val="clear" w:color="auto" w:fill="auto"/>
            <w:vAlign w:val="center"/>
          </w:tcPr>
          <w:p>
            <w:pPr>
              <w:jc w:val="left"/>
              <w:rPr>
                <w:rFonts w:ascii="等线" w:hAnsi="等线" w:eastAsia="等线" w:cs="等线"/>
                <w:color w:val="000000"/>
                <w:sz w:val="28"/>
                <w:szCs w:val="28"/>
              </w:rPr>
            </w:pPr>
          </w:p>
        </w:tc>
      </w:tr>
      <w:tr>
        <w:tblPrEx>
          <w:tblCellMar>
            <w:top w:w="0" w:type="dxa"/>
            <w:left w:w="108" w:type="dxa"/>
            <w:bottom w:w="0" w:type="dxa"/>
            <w:right w:w="108" w:type="dxa"/>
          </w:tblCellMar>
        </w:tblPrEx>
        <w:trPr>
          <w:trHeight w:val="585" w:hRule="atLeast"/>
        </w:trPr>
        <w:tc>
          <w:tcPr>
            <w:tcW w:w="916"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0185" w:type="dxa"/>
            <w:tcBorders>
              <w:top w:val="single" w:color="000000" w:sz="4" w:space="0"/>
              <w:left w:val="single" w:color="000000" w:sz="4" w:space="0"/>
              <w:bottom w:val="nil"/>
              <w:right w:val="single" w:color="000000" w:sz="4" w:space="0"/>
            </w:tcBorders>
            <w:shd w:val="clear" w:color="auto" w:fill="auto"/>
            <w:vAlign w:val="center"/>
          </w:tcPr>
          <w:p>
            <w:pPr>
              <w:widowControl/>
              <w:jc w:val="left"/>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进场审计组负责人须为注册会计师</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5</w:t>
            </w:r>
          </w:p>
        </w:tc>
        <w:tc>
          <w:tcPr>
            <w:tcW w:w="1275" w:type="dxa"/>
            <w:vMerge w:val="restart"/>
            <w:tcBorders>
              <w:top w:val="single" w:color="000000" w:sz="4" w:space="0"/>
              <w:left w:val="single" w:color="000000" w:sz="4" w:space="0"/>
              <w:bottom w:val="single" w:color="000000" w:sz="4" w:space="0"/>
              <w:right w:val="single" w:color="000000" w:sz="8" w:space="0"/>
            </w:tcBorders>
            <w:shd w:val="clear" w:color="auto" w:fill="auto"/>
            <w:vAlign w:val="center"/>
          </w:tcPr>
          <w:p>
            <w:pPr>
              <w:jc w:val="center"/>
              <w:rPr>
                <w:rFonts w:ascii="等线" w:hAnsi="等线" w:eastAsia="等线" w:cs="等线"/>
                <w:color w:val="000000"/>
                <w:sz w:val="28"/>
                <w:szCs w:val="28"/>
              </w:rPr>
            </w:pPr>
          </w:p>
        </w:tc>
      </w:tr>
      <w:tr>
        <w:tblPrEx>
          <w:tblCellMar>
            <w:top w:w="0" w:type="dxa"/>
            <w:left w:w="108" w:type="dxa"/>
            <w:bottom w:w="0" w:type="dxa"/>
            <w:right w:w="108" w:type="dxa"/>
          </w:tblCellMar>
        </w:tblPrEx>
        <w:trPr>
          <w:trHeight w:val="1080" w:hRule="atLeast"/>
        </w:trPr>
        <w:tc>
          <w:tcPr>
            <w:tcW w:w="916"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0185" w:type="dxa"/>
            <w:tcBorders>
              <w:top w:val="nil"/>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需提供：身份证复印件、职称证书复印件；前半年内连续六个月（不含投标截止时间的当月）在本单位缴交的社保证明。</w:t>
            </w: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275" w:type="dxa"/>
            <w:vMerge w:val="continue"/>
            <w:tcBorders>
              <w:top w:val="single" w:color="000000" w:sz="4" w:space="0"/>
              <w:left w:val="single" w:color="000000" w:sz="4" w:space="0"/>
              <w:bottom w:val="single" w:color="000000" w:sz="4" w:space="0"/>
              <w:right w:val="single" w:color="000000" w:sz="8" w:space="0"/>
            </w:tcBorders>
            <w:shd w:val="clear" w:color="auto" w:fill="auto"/>
            <w:vAlign w:val="center"/>
          </w:tcPr>
          <w:p>
            <w:pPr>
              <w:jc w:val="center"/>
              <w:rPr>
                <w:rFonts w:ascii="等线" w:hAnsi="等线" w:eastAsia="等线" w:cs="等线"/>
                <w:color w:val="000000"/>
                <w:sz w:val="28"/>
                <w:szCs w:val="28"/>
              </w:rPr>
            </w:pPr>
          </w:p>
        </w:tc>
      </w:tr>
      <w:tr>
        <w:tblPrEx>
          <w:tblCellMar>
            <w:top w:w="0" w:type="dxa"/>
            <w:left w:w="108" w:type="dxa"/>
            <w:bottom w:w="0" w:type="dxa"/>
            <w:right w:w="108" w:type="dxa"/>
          </w:tblCellMar>
        </w:tblPrEx>
        <w:trPr>
          <w:trHeight w:val="960" w:hRule="atLeast"/>
        </w:trPr>
        <w:tc>
          <w:tcPr>
            <w:tcW w:w="916"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0185" w:type="dxa"/>
            <w:tcBorders>
              <w:top w:val="single" w:color="000000" w:sz="4" w:space="0"/>
              <w:left w:val="single" w:color="000000" w:sz="4" w:space="0"/>
              <w:bottom w:val="nil"/>
              <w:right w:val="single" w:color="000000" w:sz="4" w:space="0"/>
            </w:tcBorders>
            <w:shd w:val="clear" w:color="auto" w:fill="auto"/>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投标人审计服务团队每有一名注册会计师得 10 分，每增加1名加1分，最高得 15 分。</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15</w:t>
            </w:r>
          </w:p>
        </w:tc>
        <w:tc>
          <w:tcPr>
            <w:tcW w:w="1275" w:type="dxa"/>
            <w:vMerge w:val="restart"/>
            <w:tcBorders>
              <w:top w:val="single" w:color="000000" w:sz="4" w:space="0"/>
              <w:left w:val="single" w:color="000000" w:sz="4" w:space="0"/>
              <w:bottom w:val="single" w:color="000000" w:sz="4" w:space="0"/>
              <w:right w:val="single" w:color="000000" w:sz="8" w:space="0"/>
            </w:tcBorders>
            <w:shd w:val="clear" w:color="auto" w:fill="auto"/>
            <w:vAlign w:val="center"/>
          </w:tcPr>
          <w:p>
            <w:pPr>
              <w:jc w:val="center"/>
              <w:rPr>
                <w:rFonts w:ascii="等线" w:hAnsi="等线" w:eastAsia="等线" w:cs="等线"/>
                <w:color w:val="000000"/>
                <w:sz w:val="28"/>
                <w:szCs w:val="28"/>
              </w:rPr>
            </w:pPr>
          </w:p>
        </w:tc>
      </w:tr>
      <w:tr>
        <w:tblPrEx>
          <w:tblCellMar>
            <w:top w:w="0" w:type="dxa"/>
            <w:left w:w="108" w:type="dxa"/>
            <w:bottom w:w="0" w:type="dxa"/>
            <w:right w:w="108" w:type="dxa"/>
          </w:tblCellMar>
        </w:tblPrEx>
        <w:trPr>
          <w:trHeight w:val="1125" w:hRule="atLeast"/>
        </w:trPr>
        <w:tc>
          <w:tcPr>
            <w:tcW w:w="916"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0185" w:type="dxa"/>
            <w:tcBorders>
              <w:top w:val="nil"/>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需提供：注册会计师证书（复印件）、身份证复印件以及该人员投标截止时间前半年内连续六个月（不含投标截止时间的当月）在本单位缴交的社保证明。</w:t>
            </w: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275" w:type="dxa"/>
            <w:vMerge w:val="continue"/>
            <w:tcBorders>
              <w:top w:val="single" w:color="000000" w:sz="4" w:space="0"/>
              <w:left w:val="single" w:color="000000" w:sz="4" w:space="0"/>
              <w:bottom w:val="single" w:color="000000" w:sz="4" w:space="0"/>
              <w:right w:val="single" w:color="000000" w:sz="8" w:space="0"/>
            </w:tcBorders>
            <w:shd w:val="clear" w:color="auto" w:fill="auto"/>
            <w:vAlign w:val="center"/>
          </w:tcPr>
          <w:p>
            <w:pPr>
              <w:jc w:val="center"/>
              <w:rPr>
                <w:rFonts w:ascii="等线" w:hAnsi="等线" w:eastAsia="等线" w:cs="等线"/>
                <w:color w:val="000000"/>
                <w:sz w:val="28"/>
                <w:szCs w:val="28"/>
              </w:rPr>
            </w:pPr>
          </w:p>
        </w:tc>
      </w:tr>
      <w:tr>
        <w:tblPrEx>
          <w:tblCellMar>
            <w:top w:w="0" w:type="dxa"/>
            <w:left w:w="108" w:type="dxa"/>
            <w:bottom w:w="0" w:type="dxa"/>
            <w:right w:w="108" w:type="dxa"/>
          </w:tblCellMar>
        </w:tblPrEx>
        <w:trPr>
          <w:trHeight w:val="1340" w:hRule="atLeast"/>
        </w:trPr>
        <w:tc>
          <w:tcPr>
            <w:tcW w:w="916"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0185" w:type="dxa"/>
            <w:tcBorders>
              <w:top w:val="single" w:color="000000" w:sz="4" w:space="0"/>
              <w:left w:val="single" w:color="000000" w:sz="4" w:space="0"/>
              <w:bottom w:val="nil"/>
              <w:right w:val="single" w:color="000000" w:sz="4" w:space="0"/>
            </w:tcBorders>
            <w:shd w:val="clear" w:color="auto" w:fill="auto"/>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投标人拟服务于该项目的人员至少</w:t>
            </w:r>
            <w:r>
              <w:rPr>
                <w:rFonts w:ascii="Calibri" w:hAnsi="Calibri" w:eastAsia="宋体" w:cs="Calibri"/>
                <w:color w:val="000000"/>
                <w:kern w:val="0"/>
                <w:sz w:val="28"/>
                <w:szCs w:val="28"/>
                <w:lang w:bidi="ar"/>
              </w:rPr>
              <w:t>2</w:t>
            </w:r>
            <w:r>
              <w:rPr>
                <w:rFonts w:hint="eastAsia" w:ascii="宋体" w:hAnsi="宋体" w:eastAsia="宋体" w:cs="宋体"/>
                <w:color w:val="000000"/>
                <w:kern w:val="0"/>
                <w:sz w:val="28"/>
                <w:szCs w:val="28"/>
                <w:lang w:bidi="ar"/>
              </w:rPr>
              <w:t>人具有中级以上职称，进场人员须具有会计或审计专业，具有中级以上职称2人得8分，每增加1人加1分，最高得 10 分。</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10</w:t>
            </w:r>
          </w:p>
        </w:tc>
        <w:tc>
          <w:tcPr>
            <w:tcW w:w="1275" w:type="dxa"/>
            <w:vMerge w:val="restart"/>
            <w:tcBorders>
              <w:top w:val="single" w:color="000000" w:sz="4" w:space="0"/>
              <w:left w:val="single" w:color="000000" w:sz="4" w:space="0"/>
              <w:bottom w:val="single" w:color="000000" w:sz="4" w:space="0"/>
              <w:right w:val="single" w:color="000000" w:sz="8" w:space="0"/>
            </w:tcBorders>
            <w:shd w:val="clear" w:color="auto" w:fill="auto"/>
            <w:vAlign w:val="center"/>
          </w:tcPr>
          <w:p>
            <w:pPr>
              <w:jc w:val="center"/>
              <w:rPr>
                <w:rFonts w:ascii="等线" w:hAnsi="等线" w:eastAsia="等线" w:cs="等线"/>
                <w:color w:val="000000"/>
                <w:sz w:val="28"/>
                <w:szCs w:val="28"/>
              </w:rPr>
            </w:pPr>
          </w:p>
        </w:tc>
      </w:tr>
      <w:tr>
        <w:tblPrEx>
          <w:tblCellMar>
            <w:top w:w="0" w:type="dxa"/>
            <w:left w:w="108" w:type="dxa"/>
            <w:bottom w:w="0" w:type="dxa"/>
            <w:right w:w="108" w:type="dxa"/>
          </w:tblCellMar>
        </w:tblPrEx>
        <w:trPr>
          <w:trHeight w:val="1620" w:hRule="atLeast"/>
        </w:trPr>
        <w:tc>
          <w:tcPr>
            <w:tcW w:w="916"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0185" w:type="dxa"/>
            <w:tcBorders>
              <w:top w:val="nil"/>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需提供：相关人员身份证复印件、职称证书复印件；投标截止时间前半年内连续六个月（不含投标截止时间的当月）在本单位缴交的社保证明；会计或审计师相关证书复印件。</w:t>
            </w: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275" w:type="dxa"/>
            <w:vMerge w:val="continue"/>
            <w:tcBorders>
              <w:top w:val="single" w:color="000000" w:sz="4" w:space="0"/>
              <w:left w:val="single" w:color="000000" w:sz="4" w:space="0"/>
              <w:bottom w:val="single" w:color="000000" w:sz="4" w:space="0"/>
              <w:right w:val="single" w:color="000000" w:sz="8" w:space="0"/>
            </w:tcBorders>
            <w:shd w:val="clear" w:color="auto" w:fill="auto"/>
            <w:vAlign w:val="center"/>
          </w:tcPr>
          <w:p>
            <w:pPr>
              <w:jc w:val="center"/>
              <w:rPr>
                <w:rFonts w:ascii="等线" w:hAnsi="等线" w:eastAsia="等线" w:cs="等线"/>
                <w:color w:val="000000"/>
                <w:sz w:val="28"/>
                <w:szCs w:val="28"/>
              </w:rPr>
            </w:pPr>
          </w:p>
        </w:tc>
      </w:tr>
      <w:tr>
        <w:tblPrEx>
          <w:tblCellMar>
            <w:top w:w="0" w:type="dxa"/>
            <w:left w:w="108" w:type="dxa"/>
            <w:bottom w:w="0" w:type="dxa"/>
            <w:right w:w="108" w:type="dxa"/>
          </w:tblCellMar>
        </w:tblPrEx>
        <w:trPr>
          <w:trHeight w:val="2220" w:hRule="atLeast"/>
        </w:trPr>
        <w:tc>
          <w:tcPr>
            <w:tcW w:w="916"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三</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质量保证</w:t>
            </w:r>
          </w:p>
        </w:tc>
        <w:tc>
          <w:tcPr>
            <w:tcW w:w="101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服务方案、管理计划和进度保证措施详细、具体、科学、合理、完善，保障措施有力。（15-20分）；2、服务方案、管理计划和进度保证措施较科学、较合理，保障措施较有力（10-15分）；3、服务方案、管理计划和进度保证措施欠完善，考虑欠周（0-10分）</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20</w:t>
            </w:r>
          </w:p>
        </w:tc>
        <w:tc>
          <w:tcPr>
            <w:tcW w:w="1275" w:type="dxa"/>
            <w:tcBorders>
              <w:top w:val="single" w:color="000000" w:sz="4" w:space="0"/>
              <w:left w:val="single" w:color="000000" w:sz="4" w:space="0"/>
              <w:bottom w:val="single" w:color="000000" w:sz="4" w:space="0"/>
              <w:right w:val="single" w:color="000000" w:sz="8" w:space="0"/>
            </w:tcBorders>
            <w:shd w:val="clear" w:color="auto" w:fill="auto"/>
            <w:vAlign w:val="center"/>
          </w:tcPr>
          <w:p>
            <w:pPr>
              <w:jc w:val="left"/>
              <w:rPr>
                <w:rFonts w:ascii="等线" w:hAnsi="等线" w:eastAsia="等线" w:cs="等线"/>
                <w:color w:val="000000"/>
                <w:sz w:val="28"/>
                <w:szCs w:val="28"/>
              </w:rPr>
            </w:pPr>
          </w:p>
        </w:tc>
      </w:tr>
      <w:tr>
        <w:tblPrEx>
          <w:tblCellMar>
            <w:top w:w="0" w:type="dxa"/>
            <w:left w:w="108" w:type="dxa"/>
            <w:bottom w:w="0" w:type="dxa"/>
            <w:right w:w="108" w:type="dxa"/>
          </w:tblCellMar>
        </w:tblPrEx>
        <w:trPr>
          <w:trHeight w:val="1180" w:hRule="atLeast"/>
        </w:trPr>
        <w:tc>
          <w:tcPr>
            <w:tcW w:w="916"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01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1、投标人具有质量管理体系认证证书的得5分，投标人需提供有效期内的认证证书，否则不得分。</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5</w:t>
            </w:r>
          </w:p>
        </w:tc>
        <w:tc>
          <w:tcPr>
            <w:tcW w:w="1275" w:type="dxa"/>
            <w:tcBorders>
              <w:top w:val="single" w:color="000000" w:sz="4" w:space="0"/>
              <w:left w:val="single" w:color="000000" w:sz="4" w:space="0"/>
              <w:bottom w:val="single" w:color="000000" w:sz="4" w:space="0"/>
              <w:right w:val="single" w:color="000000" w:sz="8" w:space="0"/>
            </w:tcBorders>
            <w:shd w:val="clear" w:color="auto" w:fill="auto"/>
            <w:vAlign w:val="center"/>
          </w:tcPr>
          <w:p>
            <w:pPr>
              <w:jc w:val="left"/>
              <w:rPr>
                <w:rFonts w:ascii="等线" w:hAnsi="等线" w:eastAsia="等线" w:cs="等线"/>
                <w:color w:val="000000"/>
                <w:sz w:val="28"/>
                <w:szCs w:val="28"/>
              </w:rPr>
            </w:pPr>
          </w:p>
        </w:tc>
      </w:tr>
      <w:tr>
        <w:tblPrEx>
          <w:tblCellMar>
            <w:top w:w="0" w:type="dxa"/>
            <w:left w:w="108" w:type="dxa"/>
            <w:bottom w:w="0" w:type="dxa"/>
            <w:right w:w="108" w:type="dxa"/>
          </w:tblCellMar>
        </w:tblPrEx>
        <w:trPr>
          <w:trHeight w:val="1555" w:hRule="atLeast"/>
        </w:trPr>
        <w:tc>
          <w:tcPr>
            <w:tcW w:w="916" w:type="dxa"/>
            <w:tcBorders>
              <w:top w:val="single" w:color="000000" w:sz="4" w:space="0"/>
              <w:left w:val="single" w:color="000000" w:sz="8"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四</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服务时限</w:t>
            </w:r>
          </w:p>
        </w:tc>
        <w:tc>
          <w:tcPr>
            <w:tcW w:w="101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根据投标人提供承诺接受采购人提出的任务完成时限，能够组织力量在要求时限内（含节假日）完成的，投标人作出承诺得5分，投标人未作出承诺的不得分。</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5</w:t>
            </w:r>
          </w:p>
        </w:tc>
        <w:tc>
          <w:tcPr>
            <w:tcW w:w="1275" w:type="dxa"/>
            <w:tcBorders>
              <w:top w:val="single" w:color="000000" w:sz="4" w:space="0"/>
              <w:left w:val="single" w:color="000000" w:sz="4" w:space="0"/>
              <w:bottom w:val="single" w:color="000000" w:sz="4" w:space="0"/>
              <w:right w:val="single" w:color="000000" w:sz="8" w:space="0"/>
            </w:tcBorders>
            <w:shd w:val="clear" w:color="auto" w:fill="auto"/>
            <w:vAlign w:val="center"/>
          </w:tcPr>
          <w:p>
            <w:pPr>
              <w:jc w:val="left"/>
              <w:rPr>
                <w:rFonts w:ascii="等线" w:hAnsi="等线" w:eastAsia="等线" w:cs="等线"/>
                <w:color w:val="000000"/>
                <w:sz w:val="28"/>
                <w:szCs w:val="28"/>
              </w:rPr>
            </w:pPr>
          </w:p>
        </w:tc>
      </w:tr>
      <w:tr>
        <w:tblPrEx>
          <w:tblCellMar>
            <w:top w:w="0" w:type="dxa"/>
            <w:left w:w="108" w:type="dxa"/>
            <w:bottom w:w="0" w:type="dxa"/>
            <w:right w:w="108" w:type="dxa"/>
          </w:tblCellMar>
        </w:tblPrEx>
        <w:trPr>
          <w:trHeight w:val="1365" w:hRule="atLeast"/>
        </w:trPr>
        <w:tc>
          <w:tcPr>
            <w:tcW w:w="916" w:type="dxa"/>
            <w:vMerge w:val="restart"/>
            <w:tcBorders>
              <w:top w:val="single" w:color="000000" w:sz="4" w:space="0"/>
              <w:left w:val="single" w:color="000000" w:sz="8"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五</w:t>
            </w:r>
          </w:p>
        </w:tc>
        <w:tc>
          <w:tcPr>
            <w:tcW w:w="1575" w:type="dxa"/>
            <w:vMerge w:val="restart"/>
            <w:tcBorders>
              <w:top w:val="single" w:color="000000" w:sz="4" w:space="0"/>
              <w:left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业绩情况</w:t>
            </w:r>
          </w:p>
        </w:tc>
        <w:tc>
          <w:tcPr>
            <w:tcW w:w="101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投标文件截止日前</w:t>
            </w:r>
            <w:r>
              <w:rPr>
                <w:rFonts w:ascii="Calibri" w:hAnsi="Calibri" w:eastAsia="宋体" w:cs="Calibri"/>
                <w:color w:val="000000"/>
                <w:kern w:val="0"/>
                <w:sz w:val="28"/>
                <w:szCs w:val="28"/>
                <w:lang w:bidi="ar"/>
              </w:rPr>
              <w:t>3</w:t>
            </w:r>
            <w:r>
              <w:rPr>
                <w:rFonts w:hint="eastAsia" w:ascii="宋体" w:hAnsi="宋体" w:eastAsia="宋体" w:cs="宋体"/>
                <w:color w:val="000000"/>
                <w:kern w:val="0"/>
                <w:sz w:val="28"/>
                <w:szCs w:val="28"/>
                <w:lang w:bidi="ar"/>
              </w:rPr>
              <w:t>年内，一个三级甲等医院的审计项目得10分（必须提供项目的中标通知书、合同、审计报告的封面及签字页。）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kern w:val="0"/>
                <w:sz w:val="28"/>
                <w:szCs w:val="28"/>
                <w:lang w:bidi="ar"/>
              </w:rPr>
            </w:pPr>
            <w:r>
              <w:rPr>
                <w:rFonts w:hint="eastAsia" w:ascii="等线" w:hAnsi="等线" w:eastAsia="等线" w:cs="等线"/>
                <w:color w:val="000000"/>
                <w:kern w:val="0"/>
                <w:sz w:val="28"/>
                <w:szCs w:val="28"/>
                <w:lang w:bidi="ar"/>
              </w:rPr>
              <w:t>10</w:t>
            </w:r>
          </w:p>
        </w:tc>
        <w:tc>
          <w:tcPr>
            <w:tcW w:w="1275" w:type="dxa"/>
            <w:tcBorders>
              <w:top w:val="single" w:color="000000" w:sz="4" w:space="0"/>
              <w:left w:val="single" w:color="000000" w:sz="4" w:space="0"/>
              <w:bottom w:val="single" w:color="000000" w:sz="4" w:space="0"/>
              <w:right w:val="single" w:color="000000" w:sz="8" w:space="0"/>
            </w:tcBorders>
            <w:shd w:val="clear" w:color="auto" w:fill="auto"/>
            <w:vAlign w:val="center"/>
          </w:tcPr>
          <w:p>
            <w:pPr>
              <w:jc w:val="left"/>
              <w:rPr>
                <w:rFonts w:ascii="等线" w:hAnsi="等线" w:eastAsia="等线" w:cs="等线"/>
                <w:color w:val="000000"/>
                <w:sz w:val="28"/>
                <w:szCs w:val="28"/>
              </w:rPr>
            </w:pPr>
          </w:p>
        </w:tc>
      </w:tr>
      <w:tr>
        <w:tblPrEx>
          <w:tblCellMar>
            <w:top w:w="0" w:type="dxa"/>
            <w:left w:w="108" w:type="dxa"/>
            <w:bottom w:w="0" w:type="dxa"/>
            <w:right w:w="108" w:type="dxa"/>
          </w:tblCellMar>
        </w:tblPrEx>
        <w:trPr>
          <w:trHeight w:val="1520" w:hRule="atLeast"/>
        </w:trPr>
        <w:tc>
          <w:tcPr>
            <w:tcW w:w="916" w:type="dxa"/>
            <w:vMerge w:val="continue"/>
            <w:tcBorders>
              <w:left w:val="single" w:color="000000" w:sz="8"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p>
        </w:tc>
        <w:tc>
          <w:tcPr>
            <w:tcW w:w="1575" w:type="dxa"/>
            <w:vMerge w:val="continue"/>
            <w:tcBorders>
              <w:left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p>
        </w:tc>
        <w:tc>
          <w:tcPr>
            <w:tcW w:w="101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投标文件截止日前</w:t>
            </w:r>
            <w:r>
              <w:rPr>
                <w:rFonts w:ascii="Calibri" w:hAnsi="Calibri" w:eastAsia="宋体" w:cs="Calibri"/>
                <w:color w:val="000000"/>
                <w:kern w:val="0"/>
                <w:sz w:val="28"/>
                <w:szCs w:val="28"/>
                <w:lang w:bidi="ar"/>
              </w:rPr>
              <w:t>3</w:t>
            </w:r>
            <w:r>
              <w:rPr>
                <w:rFonts w:hint="eastAsia" w:ascii="宋体" w:hAnsi="宋体" w:eastAsia="宋体" w:cs="宋体"/>
                <w:color w:val="000000"/>
                <w:kern w:val="0"/>
                <w:sz w:val="28"/>
                <w:szCs w:val="28"/>
                <w:lang w:bidi="ar"/>
              </w:rPr>
              <w:t>年内，投标人有审计过医院或行政事业单位，一个项目得</w:t>
            </w:r>
            <w:r>
              <w:rPr>
                <w:rFonts w:hint="eastAsia" w:ascii="Calibri" w:hAnsi="Calibri" w:eastAsia="宋体" w:cs="Calibri"/>
                <w:color w:val="000000"/>
                <w:kern w:val="0"/>
                <w:sz w:val="28"/>
                <w:szCs w:val="28"/>
                <w:lang w:bidi="ar"/>
              </w:rPr>
              <w:t>1</w:t>
            </w:r>
            <w:r>
              <w:rPr>
                <w:rFonts w:hint="eastAsia" w:ascii="宋体" w:hAnsi="宋体" w:eastAsia="宋体" w:cs="宋体"/>
                <w:color w:val="000000"/>
                <w:kern w:val="0"/>
                <w:sz w:val="28"/>
                <w:szCs w:val="28"/>
                <w:lang w:bidi="ar"/>
              </w:rPr>
              <w:t>分，最高得</w:t>
            </w:r>
            <w:r>
              <w:rPr>
                <w:rFonts w:ascii="Calibri" w:hAnsi="Calibri" w:eastAsia="宋体" w:cs="Calibri"/>
                <w:color w:val="000000"/>
                <w:kern w:val="0"/>
                <w:sz w:val="28"/>
                <w:szCs w:val="28"/>
                <w:lang w:bidi="ar"/>
              </w:rPr>
              <w:t>5</w:t>
            </w:r>
            <w:r>
              <w:rPr>
                <w:rFonts w:hint="eastAsia" w:ascii="宋体" w:hAnsi="宋体" w:eastAsia="宋体" w:cs="宋体"/>
                <w:color w:val="000000"/>
                <w:kern w:val="0"/>
                <w:sz w:val="28"/>
                <w:szCs w:val="28"/>
                <w:lang w:bidi="ar"/>
              </w:rPr>
              <w:t>分。（必须提供项目的中标通知书、合同、审计报告的封面及签字页。）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hint="eastAsia" w:ascii="等线" w:hAnsi="等线" w:eastAsia="等线" w:cs="等线"/>
                <w:color w:val="000000"/>
                <w:kern w:val="0"/>
                <w:sz w:val="28"/>
                <w:szCs w:val="28"/>
                <w:lang w:bidi="ar"/>
              </w:rPr>
              <w:t>5</w:t>
            </w:r>
          </w:p>
        </w:tc>
        <w:tc>
          <w:tcPr>
            <w:tcW w:w="1275" w:type="dxa"/>
            <w:tcBorders>
              <w:top w:val="single" w:color="000000" w:sz="4" w:space="0"/>
              <w:left w:val="single" w:color="000000" w:sz="4" w:space="0"/>
              <w:bottom w:val="single" w:color="000000" w:sz="4" w:space="0"/>
              <w:right w:val="single" w:color="000000" w:sz="8" w:space="0"/>
            </w:tcBorders>
            <w:shd w:val="clear" w:color="auto" w:fill="auto"/>
            <w:vAlign w:val="center"/>
          </w:tcPr>
          <w:p>
            <w:pPr>
              <w:jc w:val="left"/>
              <w:rPr>
                <w:rFonts w:ascii="等线" w:hAnsi="等线" w:eastAsia="等线" w:cs="等线"/>
                <w:color w:val="000000"/>
                <w:sz w:val="28"/>
                <w:szCs w:val="28"/>
              </w:rPr>
            </w:pPr>
          </w:p>
        </w:tc>
      </w:tr>
      <w:tr>
        <w:tblPrEx>
          <w:tblCellMar>
            <w:top w:w="0" w:type="dxa"/>
            <w:left w:w="108" w:type="dxa"/>
            <w:bottom w:w="0" w:type="dxa"/>
            <w:right w:w="108" w:type="dxa"/>
          </w:tblCellMar>
        </w:tblPrEx>
        <w:trPr>
          <w:trHeight w:val="2010" w:hRule="atLeast"/>
        </w:trPr>
        <w:tc>
          <w:tcPr>
            <w:tcW w:w="916" w:type="dxa"/>
            <w:vMerge w:val="continue"/>
            <w:tcBorders>
              <w:left w:val="single" w:color="000000" w:sz="8"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575"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ascii="等线" w:hAnsi="等线" w:eastAsia="等线" w:cs="等线"/>
                <w:color w:val="000000"/>
                <w:sz w:val="28"/>
                <w:szCs w:val="28"/>
              </w:rPr>
            </w:pPr>
          </w:p>
        </w:tc>
        <w:tc>
          <w:tcPr>
            <w:tcW w:w="101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投标文件截止时间前2年（不含投标截止时间的当月），投标人有取得所服务的医院或行政事业单位审计的客户好评的项目，提供一个得 1 分，最高得 10分。必须提供客户盖章的满意度评分表等相关证明文件。</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10</w:t>
            </w:r>
          </w:p>
        </w:tc>
        <w:tc>
          <w:tcPr>
            <w:tcW w:w="1275" w:type="dxa"/>
            <w:tcBorders>
              <w:top w:val="single" w:color="000000" w:sz="4" w:space="0"/>
              <w:left w:val="single" w:color="000000" w:sz="4" w:space="0"/>
              <w:bottom w:val="single" w:color="000000" w:sz="4" w:space="0"/>
              <w:right w:val="single" w:color="000000" w:sz="8" w:space="0"/>
            </w:tcBorders>
            <w:shd w:val="clear" w:color="auto" w:fill="auto"/>
            <w:vAlign w:val="center"/>
          </w:tcPr>
          <w:p>
            <w:pPr>
              <w:jc w:val="left"/>
              <w:rPr>
                <w:rFonts w:ascii="等线" w:hAnsi="等线" w:eastAsia="等线" w:cs="等线"/>
                <w:color w:val="000000"/>
                <w:sz w:val="28"/>
                <w:szCs w:val="28"/>
              </w:rPr>
            </w:pPr>
          </w:p>
        </w:tc>
      </w:tr>
      <w:tr>
        <w:tblPrEx>
          <w:tblCellMar>
            <w:top w:w="0" w:type="dxa"/>
            <w:left w:w="108" w:type="dxa"/>
            <w:bottom w:w="0" w:type="dxa"/>
            <w:right w:w="108" w:type="dxa"/>
          </w:tblCellMar>
        </w:tblPrEx>
        <w:trPr>
          <w:trHeight w:val="1099" w:hRule="atLeast"/>
        </w:trPr>
        <w:tc>
          <w:tcPr>
            <w:tcW w:w="12676" w:type="dxa"/>
            <w:gridSpan w:val="3"/>
            <w:tcBorders>
              <w:top w:val="single" w:color="000000" w:sz="4" w:space="0"/>
              <w:left w:val="single" w:color="000000" w:sz="8" w:space="0"/>
              <w:bottom w:val="single" w:color="000000" w:sz="8"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总分</w:t>
            </w:r>
          </w:p>
        </w:tc>
        <w:tc>
          <w:tcPr>
            <w:tcW w:w="1155" w:type="dxa"/>
            <w:tcBorders>
              <w:top w:val="single" w:color="000000" w:sz="4" w:space="0"/>
              <w:left w:val="single" w:color="000000" w:sz="4" w:space="0"/>
              <w:bottom w:val="single" w:color="000000" w:sz="8" w:space="0"/>
              <w:right w:val="single" w:color="000000" w:sz="4" w:space="0"/>
            </w:tcBorders>
            <w:shd w:val="clear" w:color="auto" w:fill="auto"/>
            <w:vAlign w:val="center"/>
          </w:tcPr>
          <w:p>
            <w:pPr>
              <w:widowControl/>
              <w:jc w:val="center"/>
              <w:textAlignment w:val="center"/>
              <w:rPr>
                <w:rFonts w:ascii="等线" w:hAnsi="等线" w:eastAsia="等线" w:cs="等线"/>
                <w:color w:val="000000"/>
                <w:sz w:val="28"/>
                <w:szCs w:val="28"/>
              </w:rPr>
            </w:pPr>
            <w:r>
              <w:rPr>
                <w:rFonts w:ascii="等线" w:hAnsi="等线" w:eastAsia="等线" w:cs="等线"/>
                <w:color w:val="000000"/>
                <w:kern w:val="0"/>
                <w:sz w:val="28"/>
                <w:szCs w:val="28"/>
                <w:lang w:bidi="ar"/>
              </w:rPr>
              <w:t>100</w:t>
            </w:r>
          </w:p>
        </w:tc>
        <w:tc>
          <w:tcPr>
            <w:tcW w:w="1275" w:type="dxa"/>
            <w:tcBorders>
              <w:top w:val="single" w:color="000000" w:sz="4" w:space="0"/>
              <w:left w:val="single" w:color="000000" w:sz="4" w:space="0"/>
              <w:bottom w:val="single" w:color="000000" w:sz="8" w:space="0"/>
              <w:right w:val="single" w:color="000000" w:sz="8" w:space="0"/>
            </w:tcBorders>
            <w:shd w:val="clear" w:color="auto" w:fill="auto"/>
            <w:vAlign w:val="center"/>
          </w:tcPr>
          <w:p>
            <w:pPr>
              <w:jc w:val="left"/>
              <w:rPr>
                <w:rFonts w:ascii="等线" w:hAnsi="等线" w:eastAsia="等线" w:cs="等线"/>
                <w:color w:val="000000"/>
                <w:sz w:val="28"/>
                <w:szCs w:val="28"/>
              </w:rPr>
            </w:pPr>
          </w:p>
        </w:tc>
      </w:tr>
    </w:tbl>
    <w:p/>
    <w:sectPr>
      <w:pgSz w:w="16838" w:h="11906" w:orient="landscape"/>
      <w:pgMar w:top="1797" w:right="851" w:bottom="1797" w:left="85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9284D73"/>
    <w:multiLevelType w:val="multilevel"/>
    <w:tmpl w:val="79284D73"/>
    <w:lvl w:ilvl="0" w:tentative="0">
      <w:start w:val="3"/>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MzZDVlNDMyZDY5NzBiYzZiYWE5ZDY4MjkwZDY2ZTcifQ=="/>
  </w:docVars>
  <w:rsids>
    <w:rsidRoot w:val="00314E2F"/>
    <w:rsid w:val="000D259F"/>
    <w:rsid w:val="000D2D04"/>
    <w:rsid w:val="00314E2F"/>
    <w:rsid w:val="00377E1A"/>
    <w:rsid w:val="003F6CA1"/>
    <w:rsid w:val="0054702D"/>
    <w:rsid w:val="00A63C45"/>
    <w:rsid w:val="00C16694"/>
    <w:rsid w:val="00DE5A08"/>
    <w:rsid w:val="00F118E6"/>
    <w:rsid w:val="00FA2CEB"/>
    <w:rsid w:val="08182CD5"/>
    <w:rsid w:val="43E67587"/>
    <w:rsid w:val="6B276273"/>
    <w:rsid w:val="75F979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List Paragraph"/>
    <w:basedOn w:val="1"/>
    <w:qFormat/>
    <w:uiPriority w:val="34"/>
    <w:pPr>
      <w:ind w:firstLine="420" w:firstLineChars="200"/>
    </w:pPr>
  </w:style>
  <w:style w:type="character" w:customStyle="1" w:styleId="6">
    <w:name w:val="font31"/>
    <w:basedOn w:val="4"/>
    <w:uiPriority w:val="0"/>
    <w:rPr>
      <w:rFonts w:hint="eastAsia" w:ascii="宋体" w:hAnsi="宋体" w:eastAsia="宋体" w:cs="宋体"/>
      <w:color w:val="000000"/>
      <w:sz w:val="28"/>
      <w:szCs w:val="28"/>
      <w:u w:val="none"/>
    </w:rPr>
  </w:style>
  <w:style w:type="character" w:customStyle="1" w:styleId="7">
    <w:name w:val="font61"/>
    <w:basedOn w:val="4"/>
    <w:uiPriority w:val="0"/>
    <w:rPr>
      <w:rFonts w:ascii="Calibri" w:hAnsi="Calibri" w:cs="Calibri"/>
      <w:color w:val="000000"/>
      <w:sz w:val="28"/>
      <w:szCs w:val="2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1762</Words>
  <Characters>1892</Characters>
  <Lines>14</Lines>
  <Paragraphs>4</Paragraphs>
  <TotalTime>17</TotalTime>
  <ScaleCrop>false</ScaleCrop>
  <LinksUpToDate>false</LinksUpToDate>
  <CharactersWithSpaces>1902</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2023-04-07T05:18:00Z</dcterms:created>
  <dc:creator>Administrator</dc:creator>
  <cp:lastModifiedBy>svfly</cp:lastModifiedBy>
  <dcterms:modified xsi:type="dcterms:W3CDTF">2023-04-28T03:13:06Z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4ACE28CC601E47E7ADEB77A4C8B5FD09_13</vt:lpwstr>
  </property>
</Properties>
</file>