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numPr>
          <w:ilvl w:val="1"/>
          <w:numId w:val="0"/>
        </w:numPr>
        <w:spacing w:line="500" w:lineRule="exact"/>
        <w:rPr>
          <w:rFonts w:ascii="仿宋" w:hAnsi="仿宋" w:eastAsia="仿宋"/>
          <w:sz w:val="32"/>
          <w:szCs w:val="32"/>
          <w:lang w:val="zh-CN"/>
        </w:rPr>
      </w:pPr>
      <w:bookmarkStart w:id="0" w:name="_GoBack"/>
      <w:r>
        <w:rPr>
          <w:rFonts w:hint="eastAsia" w:ascii="方正小标宋_GBK" w:hAnsi="方正小标宋_GBK" w:eastAsia="方正小标宋_GBK" w:cs="方正小标宋_GBK"/>
          <w:sz w:val="44"/>
          <w:szCs w:val="44"/>
          <w:lang w:val="zh-CN"/>
        </w:rPr>
        <w:t>需求内容</w:t>
      </w:r>
      <w:r>
        <w:rPr>
          <w:rFonts w:hint="eastAsia" w:ascii="方正小标宋_GBK" w:hAnsi="方正小标宋_GBK" w:eastAsia="方正小标宋_GBK" w:cs="方正小标宋_GBK"/>
          <w:sz w:val="44"/>
          <w:szCs w:val="44"/>
          <w:lang w:val="en-US" w:eastAsia="zh-CN"/>
        </w:rPr>
        <w:t>-无陪护病房病人餐供应服务</w:t>
      </w:r>
    </w:p>
    <w:bookmarkEnd w:id="0"/>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一、需求概况</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按照医院无陪护病房业务要求，我院拟采购无陪护病房病人餐供应服务，为住院患者提供一日三餐，年服务人次约1200人。投标供应商需提供普通病患餐、糖尿病餐、高蛋白餐三种规格。</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二、技术要求</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 xml:space="preserve">1.供应商应严格按照国家餐饮行业的相关标准，确保证件齐全，做好食品安全工作。 </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 xml:space="preserve">2.鉴于医院营养的特殊性，供应商针对各种各样的用餐人员开展营养治疗，辅助疾病的临床治疗，提供治疗饮食及饮食种类，遵守配餐原则，合理搭配。 如遇鼻饲饮食患者，因配送时间原因，乙方应根据病情需要足量供给，采取保温设施达到患者每2小时喂食。                                                                                                                                                                                                                                                                                                                                                                                                                                                                                                                                                                                                                                                                                                                                                                                                                                                                                                                                                                                                                                                                                                                                                                                                                                                                                                                                                                                                                                </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3.供应商定期更新菜谱，在每周五下午提供下周的菜谱。</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供应商必须确保所供食物的安全和质量，食材应当新鲜、健康，保证食品卫生达标。严禁使用变质变霉的食材，不得混入过夜剩菜，或出现餐品变质、食物未熟等有损用餐人员身体健康的情况。如因供应商原因导致厦门医学院附属口腔医院用餐人员身体受到伤害的，经医院确诊、经政府监督管理部门鉴定后，供应商应先垫付医疗费，并承担全部的法律后果，赔偿由此给厦门医学院附属口腔医院及用餐人员造成的全部损失（包括但不限于医药费、误工费、营养费等）。一经厦门医学院附属口腔医院或任何第三方发现的，厦门医学院附属口腔医院有权单方面解除本合同。</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供应商应建立食品留样制度并保证留样时间，以便查验。留样食品按品种分别盛放于清洗消毒后的密闭专用容器内，并放置在专用冰箱中，在冷藏条件下存放48小时以上；每个品种留样量应满足检验需要（不少于130g），并记录留样食品名称、留样量、留样时间、留样人员、审核人员等。如因供应商未按要求建立留样制度或留样时间不足48小时导致无法追索与查验，由供应商承担由此引发的全部责任。</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6.供应商须建立应急预案及时解决相关问题，如供餐现场遇突发状况，应立即启动相关预案、及时采取措施，确保厦门医学院附属口腔医院按时按质按量取餐。供应商须保证按厦门医学院附属口腔医院要求在每日***（早餐）、***（中餐）、***（晚餐）之前为厦门医学院附属口腔医院备好餐。</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7.供应商负责置办、提供本合同配餐服务所需的所有设备及器具，包括但不限于餐碟、餐碗、刀叉、餐夹、碗筷消毒柜、保温桶、烘焙面包机、豆浆机等，供应商提供的餐盒、餐具等应符合GB14934《食（饮）具消毒卫生标准》等最新规定，做到卫生、环保、无毒害。供应商提供的需要存放在厦门医学院附属口腔医院场所的设备及器具均必须经过厦门医学院附属口腔医院认可，确保品质优良的同时，确保外观与厦门医学院附属口腔医院场所的协调性。</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8.供应商需为本项目投保食品安全责任险，且投保金额不得少于人民币100万元。</w:t>
      </w:r>
    </w:p>
    <w:p>
      <w:pPr>
        <w:spacing w:line="360" w:lineRule="auto"/>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三、评分标准</w:t>
      </w:r>
    </w:p>
    <w:p>
      <w:pPr>
        <w:pStyle w:val="4"/>
        <w:snapToGrid w:val="0"/>
        <w:spacing w:line="360" w:lineRule="auto"/>
        <w:ind w:left="293" w:leftChars="122" w:firstLine="224" w:firstLineChars="7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1.技术因素分F1（满分78分）。</w:t>
      </w:r>
    </w:p>
    <w:tbl>
      <w:tblPr>
        <w:tblStyle w:val="10"/>
        <w:tblW w:w="10719" w:type="dxa"/>
        <w:jc w:val="center"/>
        <w:tblLayout w:type="autofit"/>
        <w:tblCellMar>
          <w:top w:w="0" w:type="dxa"/>
          <w:left w:w="108" w:type="dxa"/>
          <w:bottom w:w="0" w:type="dxa"/>
          <w:right w:w="108" w:type="dxa"/>
        </w:tblCellMar>
      </w:tblPr>
      <w:tblGrid>
        <w:gridCol w:w="709"/>
        <w:gridCol w:w="9072"/>
        <w:gridCol w:w="938"/>
      </w:tblGrid>
      <w:tr>
        <w:tblPrEx>
          <w:tblCellMar>
            <w:top w:w="0" w:type="dxa"/>
            <w:left w:w="108" w:type="dxa"/>
            <w:bottom w:w="0" w:type="dxa"/>
            <w:right w:w="108" w:type="dxa"/>
          </w:tblCellMar>
        </w:tblPrEx>
        <w:trPr>
          <w:trHeight w:val="601"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序号</w:t>
            </w:r>
          </w:p>
        </w:tc>
        <w:tc>
          <w:tcPr>
            <w:tcW w:w="90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评分因素及评分细则</w:t>
            </w:r>
          </w:p>
        </w:tc>
        <w:tc>
          <w:tcPr>
            <w:tcW w:w="93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满分分值</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2"/>
                <w:szCs w:val="22"/>
                <w:lang w:bidi="ar"/>
              </w:rPr>
            </w:pPr>
            <w:r>
              <w:rPr>
                <w:rFonts w:ascii="宋体" w:hAnsi="宋体" w:cs="宋体"/>
                <w:kern w:val="0"/>
                <w:sz w:val="22"/>
                <w:szCs w:val="22"/>
                <w:lang w:bidi="ar"/>
              </w:rPr>
              <w:t>根据投标人为本项目提供服务的</w:t>
            </w:r>
            <w:r>
              <w:rPr>
                <w:rFonts w:hint="eastAsia" w:ascii="宋体" w:hAnsi="宋体" w:cs="宋体"/>
                <w:kern w:val="0"/>
                <w:sz w:val="22"/>
                <w:szCs w:val="22"/>
                <w:lang w:bidi="ar"/>
              </w:rPr>
              <w:t>餐饮</w:t>
            </w:r>
            <w:r>
              <w:rPr>
                <w:rFonts w:ascii="宋体" w:hAnsi="宋体" w:cs="宋体"/>
                <w:kern w:val="0"/>
                <w:sz w:val="22"/>
                <w:szCs w:val="22"/>
                <w:lang w:bidi="ar"/>
              </w:rPr>
              <w:t>单位的现场情况进行评价： ①加工操作环节及操作流程：加工操作环节完整，加工操作流程规范的得5分；主要加工操作环节及操作流程完整，虽有不足，但不影响项目整体实施的得3分；未提供或不可行的不得分。 【注：投标人可通过文字、图片</w:t>
            </w:r>
            <w:r>
              <w:rPr>
                <w:rFonts w:hint="eastAsia" w:ascii="宋体" w:hAnsi="宋体" w:cs="宋体"/>
                <w:kern w:val="0"/>
                <w:sz w:val="22"/>
                <w:szCs w:val="22"/>
                <w:lang w:bidi="ar"/>
              </w:rPr>
              <w:t>等</w:t>
            </w:r>
            <w:r>
              <w:rPr>
                <w:rFonts w:ascii="宋体" w:hAnsi="宋体" w:cs="宋体"/>
                <w:kern w:val="0"/>
                <w:sz w:val="22"/>
                <w:szCs w:val="22"/>
                <w:lang w:bidi="ar"/>
              </w:rPr>
              <w:t>方式进行展现，须完整体现现场布局、各功能区实际情况、设施设备情况、现场操作流程。】</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ascii="宋体" w:hAnsi="宋体" w:cs="宋体"/>
                <w:kern w:val="0"/>
                <w:sz w:val="22"/>
                <w:szCs w:val="22"/>
                <w:lang w:bidi="ar"/>
              </w:rPr>
              <w:t>根据投标人为本项目提供服务的</w:t>
            </w:r>
            <w:r>
              <w:rPr>
                <w:rFonts w:hint="eastAsia" w:ascii="宋体" w:hAnsi="宋体" w:cs="宋体"/>
                <w:kern w:val="0"/>
                <w:sz w:val="22"/>
                <w:szCs w:val="22"/>
                <w:lang w:bidi="ar"/>
              </w:rPr>
              <w:t>餐饮</w:t>
            </w:r>
            <w:r>
              <w:rPr>
                <w:rFonts w:ascii="宋体" w:hAnsi="宋体" w:cs="宋体"/>
                <w:kern w:val="0"/>
                <w:sz w:val="22"/>
                <w:szCs w:val="22"/>
                <w:lang w:bidi="ar"/>
              </w:rPr>
              <w:t>单位现场情况进行评价： ②仓库整体布局及食品的摆放规范展示：整体布局及食品的摆放合理、涉及品目内容齐全、规划及标识清晰、管理规范整洁的得5分；整体布局及主要食品的摆放合理，虽有不足，但不影响项目整体实施的得3分；未提供或不可行的不得分。【注：投标人可通过文字、图片</w:t>
            </w:r>
            <w:r>
              <w:rPr>
                <w:rFonts w:hint="eastAsia" w:ascii="宋体" w:hAnsi="宋体" w:cs="宋体"/>
                <w:kern w:val="0"/>
                <w:sz w:val="22"/>
                <w:szCs w:val="22"/>
                <w:lang w:bidi="ar"/>
              </w:rPr>
              <w:t>等</w:t>
            </w:r>
            <w:r>
              <w:rPr>
                <w:rFonts w:ascii="宋体" w:hAnsi="宋体" w:cs="宋体"/>
                <w:kern w:val="0"/>
                <w:sz w:val="22"/>
                <w:szCs w:val="22"/>
                <w:lang w:bidi="ar"/>
              </w:rPr>
              <w:t>方式进行展现，须完整体现现场布局、各功能区实际情况、设施设备情况、现场操作流程。】</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ascii="宋体" w:hAnsi="宋体" w:cs="宋体"/>
                <w:kern w:val="0"/>
                <w:sz w:val="22"/>
                <w:szCs w:val="22"/>
                <w:lang w:bidi="ar"/>
              </w:rPr>
              <w:t>根据投标人为本项目提供服务的</w:t>
            </w:r>
            <w:r>
              <w:rPr>
                <w:rFonts w:hint="eastAsia" w:ascii="宋体" w:hAnsi="宋体" w:cs="宋体"/>
                <w:kern w:val="0"/>
                <w:sz w:val="22"/>
                <w:szCs w:val="22"/>
                <w:lang w:bidi="ar"/>
              </w:rPr>
              <w:t>餐饮</w:t>
            </w:r>
            <w:r>
              <w:rPr>
                <w:rFonts w:ascii="宋体" w:hAnsi="宋体" w:cs="宋体"/>
                <w:kern w:val="0"/>
                <w:sz w:val="22"/>
                <w:szCs w:val="22"/>
                <w:lang w:bidi="ar"/>
              </w:rPr>
              <w:t>单位的现场情况进行评价： ③晨检环节、台账管理环节：制度流程规范、内容详尽完整、具体可行的得5分；制度流程主要内容完整，虽有不足，但不影响项目整体实施的得3分；未提供或不可行的不得分。 【注：投标人可通过文字、图片</w:t>
            </w:r>
            <w:r>
              <w:rPr>
                <w:rFonts w:hint="eastAsia" w:ascii="宋体" w:hAnsi="宋体" w:cs="宋体"/>
                <w:kern w:val="0"/>
                <w:sz w:val="22"/>
                <w:szCs w:val="22"/>
                <w:lang w:bidi="ar"/>
              </w:rPr>
              <w:t>等</w:t>
            </w:r>
            <w:r>
              <w:rPr>
                <w:rFonts w:ascii="宋体" w:hAnsi="宋体" w:cs="宋体"/>
                <w:kern w:val="0"/>
                <w:sz w:val="22"/>
                <w:szCs w:val="22"/>
                <w:lang w:bidi="ar"/>
              </w:rPr>
              <w:t>方式进行展现，须完整体现现场布局、各功能区实际情况、设施设备情况、现场操作流程。】</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r>
      <w:tr>
        <w:tblPrEx>
          <w:tblCellMar>
            <w:top w:w="0" w:type="dxa"/>
            <w:left w:w="108" w:type="dxa"/>
            <w:bottom w:w="0" w:type="dxa"/>
            <w:right w:w="108" w:type="dxa"/>
          </w:tblCellMar>
        </w:tblPrEx>
        <w:trPr>
          <w:trHeight w:val="1660"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2"/>
                <w:szCs w:val="22"/>
                <w:highlight w:val="yellow"/>
                <w:lang w:bidi="ar"/>
              </w:rPr>
            </w:pPr>
            <w:r>
              <w:rPr>
                <w:rFonts w:hint="eastAsia" w:ascii="宋体" w:hAnsi="宋体" w:cs="宋体"/>
                <w:kern w:val="0"/>
                <w:sz w:val="22"/>
                <w:szCs w:val="22"/>
                <w:highlight w:val="none"/>
                <w:lang w:bidi="ar"/>
              </w:rPr>
              <w:t>根据投标人为本项目提供服务的集体用餐配送单位的现场情况进行评价： ④整体供餐流程、洗消流程：供餐及洗消流程详尽具体、内容清晰完整、切实可行的得</w:t>
            </w:r>
            <w:r>
              <w:rPr>
                <w:rFonts w:hint="eastAsia" w:ascii="宋体" w:hAnsi="宋体" w:cs="宋体"/>
                <w:kern w:val="0"/>
                <w:sz w:val="22"/>
                <w:szCs w:val="22"/>
                <w:highlight w:val="none"/>
                <w:lang w:val="en-US" w:eastAsia="zh-CN" w:bidi="ar"/>
              </w:rPr>
              <w:t>5</w:t>
            </w:r>
            <w:r>
              <w:rPr>
                <w:rFonts w:hint="eastAsia" w:ascii="宋体" w:hAnsi="宋体" w:cs="宋体"/>
                <w:kern w:val="0"/>
                <w:sz w:val="22"/>
                <w:szCs w:val="22"/>
                <w:highlight w:val="none"/>
                <w:lang w:bidi="ar"/>
              </w:rPr>
              <w:t>分；供餐及洗消流程的主要内容完整，虽有不足，但不影响项目整体实施的得</w:t>
            </w:r>
            <w:r>
              <w:rPr>
                <w:rFonts w:hint="eastAsia" w:ascii="宋体" w:hAnsi="宋体" w:cs="宋体"/>
                <w:kern w:val="0"/>
                <w:sz w:val="22"/>
                <w:szCs w:val="22"/>
                <w:highlight w:val="none"/>
                <w:lang w:val="en-US" w:eastAsia="zh-CN" w:bidi="ar"/>
              </w:rPr>
              <w:t>3</w:t>
            </w:r>
            <w:r>
              <w:rPr>
                <w:rFonts w:hint="eastAsia" w:ascii="宋体" w:hAnsi="宋体" w:cs="宋体"/>
                <w:kern w:val="0"/>
                <w:sz w:val="22"/>
                <w:szCs w:val="22"/>
                <w:highlight w:val="none"/>
                <w:lang w:bidi="ar"/>
              </w:rPr>
              <w:t>分；未提供或不可行的不得分。 【注：投标人可通过文字、图片、视频方式进行展现，须完整体现集体用餐配送点的现场布局、各功能区实际情况、设施设备情况、现场操作流程。】</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5</w:t>
            </w:r>
          </w:p>
        </w:tc>
      </w:tr>
      <w:tr>
        <w:tblPrEx>
          <w:tblCellMar>
            <w:top w:w="0" w:type="dxa"/>
            <w:left w:w="108" w:type="dxa"/>
            <w:bottom w:w="0" w:type="dxa"/>
            <w:right w:w="108" w:type="dxa"/>
          </w:tblCellMar>
        </w:tblPrEx>
        <w:trPr>
          <w:trHeight w:val="1660"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2"/>
                <w:szCs w:val="22"/>
                <w:highlight w:val="yellow"/>
                <w:lang w:bidi="ar"/>
              </w:rPr>
            </w:pPr>
            <w:r>
              <w:rPr>
                <w:rFonts w:hint="eastAsia" w:ascii="宋体" w:hAnsi="宋体" w:cs="宋体"/>
                <w:kern w:val="0"/>
                <w:sz w:val="22"/>
                <w:szCs w:val="22"/>
                <w:highlight w:val="none"/>
                <w:lang w:bidi="ar"/>
              </w:rPr>
              <w:t>根据投标人针对本项目提供的配送服务方案（至少包含配送时间安排、配送人员安排、加饭点设置、垃圾回收点设置等）进行评价：配送服务方案全面详尽，内容具体，措施可行，能够切实保障项目顺利实施的得3分；配送方案主要内容完整，虽有不足，但不影响项目整体实施的得1.5分；未提供或不可行的不得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5</w:t>
            </w:r>
          </w:p>
        </w:tc>
      </w:tr>
      <w:tr>
        <w:tblPrEx>
          <w:tblCellMar>
            <w:top w:w="0" w:type="dxa"/>
            <w:left w:w="108" w:type="dxa"/>
            <w:bottom w:w="0" w:type="dxa"/>
            <w:right w:w="108" w:type="dxa"/>
          </w:tblCellMar>
        </w:tblPrEx>
        <w:trPr>
          <w:trHeight w:val="1660"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eastAsia="zh-CN"/>
              </w:rPr>
            </w:pPr>
            <w:r>
              <w:rPr>
                <w:rFonts w:hint="eastAsia" w:ascii="宋体" w:hAnsi="宋体" w:cs="宋体"/>
                <w:color w:val="000000"/>
                <w:kern w:val="0"/>
                <w:sz w:val="22"/>
                <w:szCs w:val="22"/>
                <w:lang w:val="en-US" w:eastAsia="zh-CN"/>
              </w:rPr>
              <w:t>6</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ascii="宋体" w:hAnsi="宋体" w:cs="宋体"/>
                <w:kern w:val="0"/>
                <w:sz w:val="22"/>
                <w:szCs w:val="22"/>
                <w:lang w:bidi="ar"/>
              </w:rPr>
              <w:t>根据投标人针对本项目建立的饭菜留样管理方案（包括目标、要求、方式方法、管理制度等）进行评价：方案全面详尽，内容具体，措施可行，能够切实保障项目顺利实施的得</w:t>
            </w:r>
            <w:r>
              <w:rPr>
                <w:rFonts w:hint="eastAsia" w:ascii="宋体" w:hAnsi="宋体" w:cs="宋体"/>
                <w:kern w:val="0"/>
                <w:sz w:val="22"/>
                <w:szCs w:val="22"/>
                <w:lang w:val="en-US" w:eastAsia="zh-CN" w:bidi="ar"/>
              </w:rPr>
              <w:t>5</w:t>
            </w:r>
            <w:r>
              <w:rPr>
                <w:rFonts w:ascii="宋体" w:hAnsi="宋体" w:cs="宋体"/>
                <w:kern w:val="0"/>
                <w:sz w:val="22"/>
                <w:szCs w:val="22"/>
                <w:lang w:bidi="ar"/>
              </w:rPr>
              <w:t>分；方案主要内容完整，虽有不足，但不影响项目整体实施的得</w:t>
            </w:r>
            <w:r>
              <w:rPr>
                <w:rFonts w:hint="eastAsia" w:ascii="宋体" w:hAnsi="宋体" w:cs="宋体"/>
                <w:kern w:val="0"/>
                <w:sz w:val="22"/>
                <w:szCs w:val="22"/>
                <w:lang w:val="en-US" w:eastAsia="zh-CN" w:bidi="ar"/>
              </w:rPr>
              <w:t>3</w:t>
            </w:r>
            <w:r>
              <w:rPr>
                <w:rFonts w:ascii="宋体" w:hAnsi="宋体" w:cs="宋体"/>
                <w:kern w:val="0"/>
                <w:sz w:val="22"/>
                <w:szCs w:val="22"/>
                <w:lang w:bidi="ar"/>
              </w:rPr>
              <w:t>分；未提供或不可行的不得分。【注：投标人可通过文字、图片</w:t>
            </w:r>
            <w:r>
              <w:rPr>
                <w:rFonts w:hint="eastAsia" w:ascii="宋体" w:hAnsi="宋体" w:cs="宋体"/>
                <w:kern w:val="0"/>
                <w:sz w:val="22"/>
                <w:szCs w:val="22"/>
                <w:lang w:bidi="ar"/>
              </w:rPr>
              <w:t>等</w:t>
            </w:r>
            <w:r>
              <w:rPr>
                <w:rFonts w:ascii="宋体" w:hAnsi="宋体" w:cs="宋体"/>
                <w:kern w:val="0"/>
                <w:sz w:val="22"/>
                <w:szCs w:val="22"/>
                <w:lang w:bidi="ar"/>
              </w:rPr>
              <w:t>方式进行展现。】</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eastAsia="zh-CN"/>
              </w:rPr>
            </w:pPr>
            <w:r>
              <w:rPr>
                <w:rFonts w:hint="eastAsia" w:ascii="宋体" w:hAnsi="宋体" w:cs="宋体"/>
                <w:color w:val="000000"/>
                <w:kern w:val="0"/>
                <w:sz w:val="22"/>
                <w:szCs w:val="22"/>
                <w:lang w:val="en-US" w:eastAsia="zh-CN"/>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eastAsia="zh-CN"/>
              </w:rPr>
            </w:pPr>
            <w:r>
              <w:rPr>
                <w:rFonts w:hint="eastAsia" w:ascii="宋体" w:hAnsi="宋体" w:cs="宋体"/>
                <w:color w:val="000000"/>
                <w:kern w:val="0"/>
                <w:sz w:val="22"/>
                <w:szCs w:val="22"/>
                <w:lang w:val="en-US" w:eastAsia="zh-CN"/>
              </w:rPr>
              <w:t>7</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ascii="宋体" w:hAnsi="宋体" w:cs="宋体"/>
                <w:kern w:val="0"/>
                <w:sz w:val="22"/>
                <w:szCs w:val="22"/>
                <w:lang w:bidi="ar"/>
              </w:rPr>
              <w:t>根据投标人食材采购进货渠道和配</w:t>
            </w:r>
            <w:r>
              <w:rPr>
                <w:rFonts w:hint="eastAsia" w:ascii="宋体" w:hAnsi="宋体" w:cs="宋体"/>
                <w:kern w:val="0"/>
                <w:sz w:val="22"/>
                <w:szCs w:val="22"/>
                <w:lang w:bidi="ar"/>
              </w:rPr>
              <w:t>餐</w:t>
            </w:r>
            <w:r>
              <w:rPr>
                <w:rFonts w:ascii="宋体" w:hAnsi="宋体" w:cs="宋体"/>
                <w:kern w:val="0"/>
                <w:sz w:val="22"/>
                <w:szCs w:val="22"/>
                <w:lang w:bidi="ar"/>
              </w:rPr>
              <w:t>流程规范性，与第三方签订供货合同，入市必登情况等进行评价：投标人进货渠道统一、配送流程规范、提供原材料（至少包含大米、猪肉、蔬菜、冻品等）在市场监督管理部门规定的“一品一码”系统录入情况截图及第三方供货合同，做到食品采购信息可追溯的得10分，否则不得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eastAsia="zh-CN"/>
              </w:rPr>
            </w:pPr>
            <w:r>
              <w:rPr>
                <w:rFonts w:hint="eastAsia" w:ascii="宋体" w:hAnsi="宋体" w:cs="宋体"/>
                <w:color w:val="000000"/>
                <w:kern w:val="0"/>
                <w:sz w:val="22"/>
                <w:szCs w:val="22"/>
                <w:lang w:val="en-US" w:eastAsia="zh-CN"/>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eastAsia="zh-CN"/>
              </w:rPr>
            </w:pPr>
            <w:r>
              <w:rPr>
                <w:rFonts w:hint="eastAsia" w:ascii="宋体" w:hAnsi="宋体" w:cs="宋体"/>
                <w:color w:val="000000"/>
                <w:kern w:val="0"/>
                <w:sz w:val="22"/>
                <w:szCs w:val="22"/>
                <w:lang w:val="en-US" w:eastAsia="zh-CN"/>
              </w:rPr>
              <w:t>8</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ascii="宋体" w:hAnsi="宋体" w:cs="宋体"/>
                <w:kern w:val="0"/>
                <w:sz w:val="22"/>
                <w:szCs w:val="22"/>
                <w:lang w:bidi="ar"/>
              </w:rPr>
              <w:t>投标人针对本项</w:t>
            </w:r>
            <w:r>
              <w:rPr>
                <w:rFonts w:ascii="宋体" w:hAnsi="宋体" w:cs="宋体"/>
                <w:kern w:val="0"/>
                <w:sz w:val="22"/>
                <w:szCs w:val="22"/>
                <w:highlight w:val="none"/>
                <w:lang w:bidi="ar"/>
              </w:rPr>
              <w:t>目制定</w:t>
            </w:r>
            <w:r>
              <w:rPr>
                <w:rFonts w:hint="eastAsia" w:ascii="宋体" w:hAnsi="宋体" w:cs="宋体"/>
                <w:kern w:val="0"/>
                <w:sz w:val="22"/>
                <w:szCs w:val="22"/>
                <w:highlight w:val="none"/>
                <w:lang w:val="en-US" w:eastAsia="zh-CN" w:bidi="ar"/>
              </w:rPr>
              <w:t>2周</w:t>
            </w:r>
            <w:r>
              <w:rPr>
                <w:rFonts w:ascii="宋体" w:hAnsi="宋体" w:cs="宋体"/>
                <w:kern w:val="0"/>
                <w:sz w:val="22"/>
                <w:szCs w:val="22"/>
                <w:highlight w:val="none"/>
                <w:lang w:bidi="ar"/>
              </w:rPr>
              <w:t>及以上的菜谱，</w:t>
            </w:r>
            <w:r>
              <w:rPr>
                <w:rFonts w:ascii="宋体" w:hAnsi="宋体" w:cs="宋体"/>
                <w:kern w:val="0"/>
                <w:sz w:val="22"/>
                <w:szCs w:val="22"/>
                <w:lang w:bidi="ar"/>
              </w:rPr>
              <w:t>根据菜谱样式多样性、荤素搭配、营养均衡、粗细合理等因素进行评价：菜品种类丰富、营养搭配合理，营养均衡，粗细合理的得</w:t>
            </w:r>
            <w:r>
              <w:rPr>
                <w:rFonts w:hint="eastAsia" w:ascii="宋体" w:hAnsi="宋体" w:cs="宋体"/>
                <w:kern w:val="0"/>
                <w:sz w:val="22"/>
                <w:szCs w:val="22"/>
                <w:lang w:val="en-US" w:eastAsia="zh-CN" w:bidi="ar"/>
              </w:rPr>
              <w:t>5</w:t>
            </w:r>
            <w:r>
              <w:rPr>
                <w:rFonts w:ascii="宋体" w:hAnsi="宋体" w:cs="宋体"/>
                <w:kern w:val="0"/>
                <w:sz w:val="22"/>
                <w:szCs w:val="22"/>
                <w:lang w:bidi="ar"/>
              </w:rPr>
              <w:t>分；菜品种类及搭配合理，虽有不足，但能够保证食品营养和健康的得</w:t>
            </w:r>
            <w:r>
              <w:rPr>
                <w:rFonts w:hint="eastAsia" w:ascii="宋体" w:hAnsi="宋体" w:cs="宋体"/>
                <w:kern w:val="0"/>
                <w:sz w:val="22"/>
                <w:szCs w:val="22"/>
                <w:lang w:val="en-US" w:eastAsia="zh-CN" w:bidi="ar"/>
              </w:rPr>
              <w:t>3</w:t>
            </w:r>
            <w:r>
              <w:rPr>
                <w:rFonts w:ascii="宋体" w:hAnsi="宋体" w:cs="宋体"/>
                <w:kern w:val="0"/>
                <w:sz w:val="22"/>
                <w:szCs w:val="22"/>
                <w:lang w:bidi="ar"/>
              </w:rPr>
              <w:t>分；未提供菜谱搭配或不可行的不得分。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eastAsia="zh-CN"/>
              </w:rPr>
            </w:pPr>
            <w:r>
              <w:rPr>
                <w:rFonts w:hint="eastAsia" w:ascii="宋体" w:hAnsi="宋体" w:cs="宋体"/>
                <w:color w:val="000000"/>
                <w:kern w:val="0"/>
                <w:sz w:val="22"/>
                <w:szCs w:val="22"/>
                <w:lang w:val="en-US" w:eastAsia="zh-CN"/>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eastAsia="zh-CN"/>
              </w:rPr>
            </w:pPr>
            <w:r>
              <w:rPr>
                <w:rFonts w:hint="eastAsia" w:ascii="宋体" w:hAnsi="宋体" w:cs="宋体"/>
                <w:color w:val="000000"/>
                <w:kern w:val="0"/>
                <w:sz w:val="22"/>
                <w:szCs w:val="22"/>
                <w:lang w:val="en-US" w:eastAsia="zh-CN"/>
              </w:rPr>
              <w:t>9</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2"/>
                <w:szCs w:val="22"/>
                <w:lang w:bidi="ar"/>
              </w:rPr>
            </w:pPr>
            <w:r>
              <w:rPr>
                <w:rFonts w:ascii="宋体" w:hAnsi="宋体" w:cs="宋体"/>
                <w:kern w:val="0"/>
                <w:sz w:val="22"/>
                <w:szCs w:val="22"/>
                <w:lang w:bidi="ar"/>
              </w:rPr>
              <w:t>投标人拟投入本项目供餐相匹配的冷藏、保温设备和容器、包装物，并列出详细清单，且承诺所有用品用具符合行业配送要求及卫生标准，设备配备清单完整且符合项目实际需求的得5分；设备配备清单的主要内容完整，虽有不足，但承诺所有用品用具符合行业配送要求及卫生标准的得2分；未提供清单或未承诺所有用品用具符合行业配送要求及卫生标准的不得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2"/>
                <w:szCs w:val="22"/>
                <w:lang w:bidi="ar"/>
              </w:rPr>
            </w:pPr>
            <w:r>
              <w:rPr>
                <w:rFonts w:ascii="宋体" w:hAnsi="宋体" w:cs="宋体"/>
                <w:kern w:val="0"/>
                <w:sz w:val="22"/>
                <w:szCs w:val="22"/>
                <w:lang w:bidi="ar"/>
              </w:rPr>
              <w:t>根据投标人拟投入本项目实施的厢式车辆配备情况进行评价：</w:t>
            </w:r>
            <w:r>
              <w:rPr>
                <w:rFonts w:hint="eastAsia" w:ascii="宋体" w:hAnsi="宋体" w:cs="宋体"/>
                <w:kern w:val="0"/>
                <w:sz w:val="22"/>
                <w:szCs w:val="22"/>
                <w:lang w:bidi="ar"/>
              </w:rPr>
              <w:t>至少</w:t>
            </w:r>
            <w:r>
              <w:rPr>
                <w:rFonts w:ascii="宋体" w:hAnsi="宋体" w:cs="宋体"/>
                <w:kern w:val="0"/>
                <w:sz w:val="22"/>
                <w:szCs w:val="22"/>
                <w:lang w:bidi="ar"/>
              </w:rPr>
              <w:t>配备1辆</w:t>
            </w:r>
            <w:r>
              <w:rPr>
                <w:rFonts w:hint="eastAsia" w:ascii="宋体" w:hAnsi="宋体" w:cs="宋体"/>
                <w:kern w:val="0"/>
                <w:sz w:val="22"/>
                <w:szCs w:val="22"/>
                <w:lang w:bidi="ar"/>
              </w:rPr>
              <w:t>厢式</w:t>
            </w:r>
            <w:r>
              <w:rPr>
                <w:rFonts w:ascii="宋体" w:hAnsi="宋体" w:cs="宋体"/>
                <w:kern w:val="0"/>
                <w:sz w:val="22"/>
                <w:szCs w:val="22"/>
                <w:lang w:bidi="ar"/>
              </w:rPr>
              <w:t>车辆得5分。投标人所提供的车辆为自有的（在投标人单位名下，否则不认可为自有运输车辆），需提供车辆购置发票</w:t>
            </w:r>
            <w:r>
              <w:rPr>
                <w:rFonts w:hint="eastAsia" w:ascii="宋体" w:hAnsi="宋体" w:cs="宋体"/>
                <w:kern w:val="0"/>
                <w:sz w:val="22"/>
                <w:szCs w:val="22"/>
                <w:lang w:eastAsia="zh-CN" w:bidi="ar"/>
              </w:rPr>
              <w:t>（</w:t>
            </w:r>
            <w:r>
              <w:rPr>
                <w:rFonts w:ascii="宋体" w:hAnsi="宋体" w:cs="宋体"/>
                <w:kern w:val="0"/>
                <w:sz w:val="22"/>
                <w:szCs w:val="22"/>
                <w:lang w:bidi="ar"/>
              </w:rPr>
              <w:t>发票上单位名称需与投标人一致，且须提供在国家税务总局发票查验平台上对该发票查验结果的网址链接</w:t>
            </w:r>
            <w:r>
              <w:rPr>
                <w:rFonts w:hint="eastAsia" w:ascii="宋体" w:hAnsi="宋体" w:cs="宋体"/>
                <w:kern w:val="0"/>
                <w:sz w:val="22"/>
                <w:szCs w:val="22"/>
                <w:lang w:eastAsia="zh-CN" w:bidi="ar"/>
              </w:rPr>
              <w:t>）</w:t>
            </w:r>
            <w:r>
              <w:rPr>
                <w:rFonts w:ascii="宋体" w:hAnsi="宋体" w:cs="宋体"/>
                <w:kern w:val="0"/>
                <w:sz w:val="22"/>
                <w:szCs w:val="22"/>
                <w:lang w:bidi="ar"/>
              </w:rPr>
              <w:t>、车辆行驶证、车辆登记证有效复印件及车辆照片；所提供的配送供货运输车辆为租赁的，需提供车辆租赁协议或合同（并承诺期限涵盖本项目服务期）、车辆行驶证及车辆照片；否则不得分。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11</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ascii="宋体" w:hAnsi="宋体" w:cs="宋体"/>
                <w:kern w:val="0"/>
                <w:sz w:val="22"/>
                <w:szCs w:val="22"/>
                <w:lang w:bidi="ar"/>
              </w:rPr>
              <w:t>投标人针对本项目制定各类突发事件（停电、停水、停气）处置方案情况进行评价：处置方案分析详尽全面，应对处置措施合理，切实可行，及时有效处理，保障</w:t>
            </w:r>
            <w:r>
              <w:rPr>
                <w:rFonts w:hint="eastAsia" w:ascii="宋体" w:hAnsi="宋体" w:cs="宋体"/>
                <w:kern w:val="0"/>
                <w:sz w:val="22"/>
                <w:szCs w:val="22"/>
                <w:lang w:bidi="ar"/>
              </w:rPr>
              <w:t>供餐</w:t>
            </w:r>
            <w:r>
              <w:rPr>
                <w:rFonts w:ascii="宋体" w:hAnsi="宋体" w:cs="宋体"/>
                <w:kern w:val="0"/>
                <w:sz w:val="22"/>
                <w:szCs w:val="22"/>
                <w:lang w:bidi="ar"/>
              </w:rPr>
              <w:t>服务及时不受影响的得5分；处置方案主要内容完整，虽有不足，但不影响供餐服务整体实施的得3分；未提供处置方案或不可行的不得分。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12</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ascii="宋体" w:hAnsi="宋体" w:cs="宋体"/>
                <w:kern w:val="0"/>
                <w:sz w:val="22"/>
                <w:szCs w:val="22"/>
                <w:lang w:bidi="ar"/>
              </w:rPr>
              <w:t>投标人针对本项目制定各类突发事件（自然灾害、食物中毒、投诉等）处置方案情况进行评价：处置方案分析详尽全面，应对处置措施合理，切实可行，及时有效处理，保障</w:t>
            </w:r>
            <w:r>
              <w:rPr>
                <w:rFonts w:hint="eastAsia" w:ascii="宋体" w:hAnsi="宋体" w:cs="宋体"/>
                <w:kern w:val="0"/>
                <w:sz w:val="22"/>
                <w:szCs w:val="22"/>
                <w:lang w:bidi="ar"/>
              </w:rPr>
              <w:t>供餐</w:t>
            </w:r>
            <w:r>
              <w:rPr>
                <w:rFonts w:ascii="宋体" w:hAnsi="宋体" w:cs="宋体"/>
                <w:kern w:val="0"/>
                <w:sz w:val="22"/>
                <w:szCs w:val="22"/>
                <w:lang w:bidi="ar"/>
              </w:rPr>
              <w:t>服务及时不受影响的得5分；处置方案主要内容完整，虽有不足，但不影响供餐服务整体实施的得3分；未提供处置方案或不可行的不得分。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13</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2"/>
                <w:szCs w:val="22"/>
                <w:lang w:bidi="ar"/>
              </w:rPr>
            </w:pPr>
            <w:r>
              <w:rPr>
                <w:rFonts w:ascii="宋体" w:hAnsi="宋体" w:eastAsia="宋体" w:cs="宋体"/>
                <w:kern w:val="0"/>
                <w:sz w:val="24"/>
                <w:szCs w:val="24"/>
                <w:highlight w:val="none"/>
                <w:lang w:val="en-US" w:eastAsia="zh-CN" w:bidi="ar"/>
              </w:rPr>
              <w:t>根据投标人针对本项目制定的疫情防控预案方案进行评价：有提出服务期间的防控工作实施细则，并贴合实际情况的得</w:t>
            </w:r>
            <w:r>
              <w:rPr>
                <w:rFonts w:hint="eastAsia" w:ascii="宋体" w:hAnsi="宋体" w:eastAsia="宋体" w:cs="宋体"/>
                <w:kern w:val="0"/>
                <w:sz w:val="24"/>
                <w:szCs w:val="24"/>
                <w:highlight w:val="none"/>
                <w:lang w:val="en-US" w:eastAsia="zh-CN" w:bidi="ar"/>
              </w:rPr>
              <w:t>2</w:t>
            </w:r>
            <w:r>
              <w:rPr>
                <w:rFonts w:ascii="宋体" w:hAnsi="宋体" w:eastAsia="宋体" w:cs="宋体"/>
                <w:kern w:val="0"/>
                <w:sz w:val="24"/>
                <w:szCs w:val="24"/>
                <w:highlight w:val="none"/>
                <w:lang w:val="en-US" w:eastAsia="zh-CN" w:bidi="ar"/>
              </w:rPr>
              <w:t>分；在此基础上，所有服务人员遵守厦门市应对新冠病毒感染肺炎疫情工作指挥部的相关防控疫情文件相关要求，并且承诺中标后拟投入本项目的服务人员均按照要求接种新冠疫苗（需提供疫苗接种证明），在</w:t>
            </w:r>
            <w:r>
              <w:rPr>
                <w:rFonts w:hint="eastAsia" w:ascii="宋体" w:hAnsi="宋体" w:eastAsia="宋体" w:cs="宋体"/>
                <w:kern w:val="0"/>
                <w:sz w:val="24"/>
                <w:szCs w:val="24"/>
                <w:highlight w:val="none"/>
                <w:lang w:val="en-US" w:eastAsia="zh-CN" w:bidi="ar"/>
              </w:rPr>
              <w:t>院</w:t>
            </w:r>
            <w:r>
              <w:rPr>
                <w:rFonts w:ascii="宋体" w:hAnsi="宋体" w:eastAsia="宋体" w:cs="宋体"/>
                <w:kern w:val="0"/>
                <w:sz w:val="24"/>
                <w:szCs w:val="24"/>
                <w:highlight w:val="none"/>
                <w:lang w:val="en-US" w:eastAsia="zh-CN" w:bidi="ar"/>
              </w:rPr>
              <w:t>服务期间持续提供有效期内的核酸阴性证明，并符合政府部门相关规范要求的得</w:t>
            </w:r>
            <w:r>
              <w:rPr>
                <w:rFonts w:hint="eastAsia" w:ascii="宋体" w:hAnsi="宋体" w:eastAsia="宋体" w:cs="宋体"/>
                <w:kern w:val="0"/>
                <w:sz w:val="24"/>
                <w:szCs w:val="24"/>
                <w:highlight w:val="none"/>
                <w:lang w:val="en-US" w:eastAsia="zh-CN" w:bidi="ar"/>
              </w:rPr>
              <w:t>4</w:t>
            </w:r>
            <w:r>
              <w:rPr>
                <w:rFonts w:ascii="宋体" w:hAnsi="宋体" w:eastAsia="宋体" w:cs="宋体"/>
                <w:kern w:val="0"/>
                <w:sz w:val="24"/>
                <w:szCs w:val="24"/>
                <w:highlight w:val="none"/>
                <w:lang w:val="en-US" w:eastAsia="zh-CN" w:bidi="ar"/>
              </w:rPr>
              <w:t>分；未提供或措施存在较大缺漏的不得分。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4</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14</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2"/>
                <w:szCs w:val="22"/>
                <w:lang w:bidi="ar"/>
              </w:rPr>
            </w:pPr>
            <w:r>
              <w:rPr>
                <w:rFonts w:hint="eastAsia" w:ascii="宋体" w:hAnsi="宋体" w:cs="宋体"/>
                <w:kern w:val="0"/>
                <w:sz w:val="22"/>
                <w:szCs w:val="22"/>
                <w:lang w:bidi="ar"/>
              </w:rPr>
              <w:t>根据投标人拟投入本项目服务团队的主要人员配置情况进行评价：③投标人服务团队厨师具有三级（高级）或以上中式烹调师职业资格证的，每提供一人得</w:t>
            </w:r>
            <w:r>
              <w:rPr>
                <w:rFonts w:hint="eastAsia" w:ascii="宋体" w:hAnsi="宋体" w:cs="宋体"/>
                <w:kern w:val="0"/>
                <w:sz w:val="22"/>
                <w:szCs w:val="22"/>
                <w:lang w:val="en-US" w:eastAsia="zh-CN" w:bidi="ar"/>
              </w:rPr>
              <w:t>1</w:t>
            </w:r>
            <w:r>
              <w:rPr>
                <w:rFonts w:hint="eastAsia" w:ascii="宋体" w:hAnsi="宋体" w:cs="宋体"/>
                <w:kern w:val="0"/>
                <w:sz w:val="22"/>
                <w:szCs w:val="22"/>
                <w:lang w:bidi="ar"/>
              </w:rPr>
              <w:t>分，本项满分</w:t>
            </w:r>
            <w:r>
              <w:rPr>
                <w:rFonts w:hint="eastAsia" w:ascii="宋体" w:hAnsi="宋体" w:cs="宋体"/>
                <w:kern w:val="0"/>
                <w:sz w:val="22"/>
                <w:szCs w:val="22"/>
                <w:lang w:val="en-US" w:eastAsia="zh-CN" w:bidi="ar"/>
              </w:rPr>
              <w:t>4</w:t>
            </w:r>
            <w:r>
              <w:rPr>
                <w:rFonts w:hint="eastAsia" w:ascii="宋体" w:hAnsi="宋体" w:cs="宋体"/>
                <w:kern w:val="0"/>
                <w:sz w:val="22"/>
                <w:szCs w:val="22"/>
                <w:lang w:bidi="ar"/>
              </w:rPr>
              <w:t>分；须提供相关职业资格或技能等级证书[证书须在技能人才评价证书全国联网（zscx.osta.org.cn）可查]，以及投标截止时间前六个月中任意一个月投标人为上述人员缴交社保的证明，未完整提供不得分。【本项评分与其他项评分属于同一人员的不重复计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4</w:t>
            </w:r>
          </w:p>
        </w:tc>
      </w:tr>
      <w:tr>
        <w:tblPrEx>
          <w:tblCellMar>
            <w:top w:w="0" w:type="dxa"/>
            <w:left w:w="108" w:type="dxa"/>
            <w:bottom w:w="0" w:type="dxa"/>
            <w:right w:w="108" w:type="dxa"/>
          </w:tblCellMar>
        </w:tblPrEx>
        <w:trPr>
          <w:trHeight w:val="1698"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15</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2"/>
                <w:szCs w:val="22"/>
                <w:lang w:bidi="ar"/>
              </w:rPr>
            </w:pPr>
            <w:r>
              <w:rPr>
                <w:rFonts w:ascii="宋体" w:hAnsi="宋体" w:cs="宋体"/>
                <w:kern w:val="0"/>
                <w:sz w:val="22"/>
                <w:szCs w:val="22"/>
                <w:lang w:bidi="ar"/>
              </w:rPr>
              <w:t>根据投标人拟投入本项目服务团队的主要人员配置情况进行评价：投标人拟投入本项目营养师具</w:t>
            </w:r>
            <w:r>
              <w:rPr>
                <w:rFonts w:ascii="宋体" w:hAnsi="宋体" w:cs="宋体"/>
                <w:kern w:val="0"/>
                <w:sz w:val="22"/>
                <w:szCs w:val="22"/>
                <w:highlight w:val="none"/>
                <w:lang w:bidi="ar"/>
              </w:rPr>
              <w:t>有</w:t>
            </w:r>
            <w:r>
              <w:rPr>
                <w:rFonts w:hint="eastAsia" w:ascii="宋体" w:hAnsi="宋体" w:cs="宋体"/>
                <w:kern w:val="0"/>
                <w:sz w:val="22"/>
                <w:szCs w:val="22"/>
                <w:highlight w:val="none"/>
                <w:lang w:eastAsia="zh-CN" w:bidi="ar"/>
              </w:rPr>
              <w:t>三</w:t>
            </w:r>
            <w:r>
              <w:rPr>
                <w:rFonts w:ascii="宋体" w:hAnsi="宋体" w:cs="宋体"/>
                <w:kern w:val="0"/>
                <w:sz w:val="22"/>
                <w:szCs w:val="22"/>
                <w:highlight w:val="none"/>
                <w:lang w:bidi="ar"/>
              </w:rPr>
              <w:t>级或以上公共营养师职业资</w:t>
            </w:r>
            <w:r>
              <w:rPr>
                <w:rFonts w:ascii="宋体" w:hAnsi="宋体" w:cs="宋体"/>
                <w:kern w:val="0"/>
                <w:sz w:val="22"/>
                <w:szCs w:val="22"/>
                <w:lang w:bidi="ar"/>
              </w:rPr>
              <w:t>格证，提供相关职业资格或技能等级证书</w:t>
            </w:r>
            <w:r>
              <w:rPr>
                <w:rFonts w:hint="eastAsia" w:ascii="宋体" w:hAnsi="宋体" w:cs="宋体"/>
                <w:kern w:val="0"/>
                <w:sz w:val="22"/>
                <w:szCs w:val="22"/>
                <w:lang w:bidi="ar"/>
              </w:rPr>
              <w:t>且</w:t>
            </w:r>
            <w:r>
              <w:rPr>
                <w:rFonts w:ascii="宋体" w:hAnsi="宋体" w:cs="宋体"/>
                <w:kern w:val="0"/>
                <w:sz w:val="22"/>
                <w:szCs w:val="22"/>
                <w:lang w:bidi="ar"/>
              </w:rPr>
              <w:t>投标截止时间前3个月缴交社保的证明，完整提供</w:t>
            </w:r>
            <w:r>
              <w:rPr>
                <w:rFonts w:hint="eastAsia" w:ascii="宋体" w:hAnsi="宋体" w:cs="宋体"/>
                <w:kern w:val="0"/>
                <w:sz w:val="22"/>
                <w:szCs w:val="22"/>
                <w:lang w:bidi="ar"/>
              </w:rPr>
              <w:t>得5分，未完整提供</w:t>
            </w:r>
            <w:r>
              <w:rPr>
                <w:rFonts w:ascii="宋体" w:hAnsi="宋体" w:cs="宋体"/>
                <w:kern w:val="0"/>
                <w:sz w:val="22"/>
                <w:szCs w:val="22"/>
                <w:lang w:bidi="ar"/>
              </w:rPr>
              <w:t>不得分。【本项评分与其他项评分属于同一人员的不重复计分】</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r>
      <w:tr>
        <w:tblPrEx>
          <w:tblCellMar>
            <w:top w:w="0" w:type="dxa"/>
            <w:left w:w="108" w:type="dxa"/>
            <w:bottom w:w="0" w:type="dxa"/>
            <w:right w:w="108" w:type="dxa"/>
          </w:tblCellMar>
        </w:tblPrEx>
        <w:trPr>
          <w:trHeight w:val="1415" w:hRule="atLeast"/>
          <w:jc w:val="center"/>
        </w:trPr>
        <w:tc>
          <w:tcPr>
            <w:tcW w:w="70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16</w:t>
            </w:r>
          </w:p>
        </w:tc>
        <w:tc>
          <w:tcPr>
            <w:tcW w:w="907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2"/>
                <w:szCs w:val="22"/>
              </w:rPr>
            </w:pPr>
            <w:r>
              <w:rPr>
                <w:rFonts w:ascii="宋体" w:hAnsi="宋体" w:cs="宋体"/>
                <w:kern w:val="0"/>
                <w:sz w:val="22"/>
                <w:szCs w:val="22"/>
                <w:lang w:bidi="ar"/>
              </w:rPr>
              <w:t>根据投标人为本项目提供服务的</w:t>
            </w:r>
            <w:r>
              <w:rPr>
                <w:rFonts w:hint="eastAsia" w:ascii="宋体" w:hAnsi="宋体" w:cs="宋体"/>
                <w:kern w:val="0"/>
                <w:sz w:val="22"/>
                <w:szCs w:val="22"/>
                <w:lang w:bidi="ar"/>
              </w:rPr>
              <w:t>餐饮</w:t>
            </w:r>
            <w:r>
              <w:rPr>
                <w:rFonts w:ascii="宋体" w:hAnsi="宋体" w:cs="宋体"/>
                <w:kern w:val="0"/>
                <w:sz w:val="22"/>
                <w:szCs w:val="22"/>
                <w:lang w:bidi="ar"/>
              </w:rPr>
              <w:t>单位的</w:t>
            </w:r>
            <w:r>
              <w:rPr>
                <w:rFonts w:hint="eastAsia" w:ascii="宋体" w:hAnsi="宋体" w:cs="宋体"/>
                <w:kern w:val="0"/>
                <w:sz w:val="22"/>
                <w:szCs w:val="22"/>
                <w:lang w:bidi="ar"/>
              </w:rPr>
              <w:t>病患查房及满意度调查</w:t>
            </w:r>
            <w:r>
              <w:rPr>
                <w:rFonts w:ascii="宋体" w:hAnsi="宋体" w:cs="宋体"/>
                <w:kern w:val="0"/>
                <w:sz w:val="22"/>
                <w:szCs w:val="22"/>
                <w:lang w:bidi="ar"/>
              </w:rPr>
              <w:t>进行评价：</w:t>
            </w:r>
            <w:r>
              <w:rPr>
                <w:rFonts w:hint="eastAsia" w:ascii="宋体" w:hAnsi="宋体" w:cs="宋体"/>
                <w:kern w:val="0"/>
                <w:sz w:val="22"/>
                <w:szCs w:val="22"/>
                <w:lang w:bidi="ar"/>
              </w:rPr>
              <w:t>能定期进行病患查房及满意度调查，与病患进行沟通交流，针对供餐品质进行有效改进的得</w:t>
            </w:r>
            <w:r>
              <w:rPr>
                <w:rFonts w:hint="eastAsia" w:ascii="宋体" w:hAnsi="宋体" w:cs="宋体"/>
                <w:kern w:val="0"/>
                <w:sz w:val="22"/>
                <w:szCs w:val="22"/>
                <w:lang w:val="en-US" w:eastAsia="zh-CN" w:bidi="ar"/>
              </w:rPr>
              <w:t>5</w:t>
            </w:r>
            <w:r>
              <w:rPr>
                <w:rFonts w:hint="eastAsia" w:ascii="宋体" w:hAnsi="宋体" w:cs="宋体"/>
                <w:kern w:val="0"/>
                <w:sz w:val="22"/>
                <w:szCs w:val="22"/>
                <w:lang w:bidi="ar"/>
              </w:rPr>
              <w:t>分，未提供的不得分</w:t>
            </w:r>
            <w:r>
              <w:rPr>
                <w:rFonts w:ascii="宋体" w:hAnsi="宋体" w:cs="宋体"/>
                <w:kern w:val="0"/>
                <w:sz w:val="22"/>
                <w:szCs w:val="22"/>
                <w:lang w:bidi="ar"/>
              </w:rPr>
              <w:t>。【注：投标人可通过文字、图片</w:t>
            </w:r>
            <w:r>
              <w:rPr>
                <w:rFonts w:hint="eastAsia" w:ascii="宋体" w:hAnsi="宋体" w:cs="宋体"/>
                <w:kern w:val="0"/>
                <w:sz w:val="22"/>
                <w:szCs w:val="22"/>
                <w:lang w:bidi="ar"/>
              </w:rPr>
              <w:t>等</w:t>
            </w:r>
            <w:r>
              <w:rPr>
                <w:rFonts w:ascii="宋体" w:hAnsi="宋体" w:cs="宋体"/>
                <w:kern w:val="0"/>
                <w:sz w:val="22"/>
                <w:szCs w:val="22"/>
                <w:lang w:bidi="ar"/>
              </w:rPr>
              <w:t>方式进行展现，须完整体现现场布局、实际情况、</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eastAsia="zh-CN"/>
              </w:rPr>
            </w:pPr>
            <w:r>
              <w:rPr>
                <w:rFonts w:hint="eastAsia" w:ascii="宋体" w:hAnsi="宋体" w:cs="宋体"/>
                <w:color w:val="000000"/>
                <w:kern w:val="0"/>
                <w:sz w:val="22"/>
                <w:szCs w:val="22"/>
                <w:lang w:val="en-US" w:eastAsia="zh-CN"/>
              </w:rPr>
              <w:t>5</w:t>
            </w:r>
          </w:p>
        </w:tc>
      </w:tr>
    </w:tbl>
    <w:p>
      <w:pPr>
        <w:pStyle w:val="4"/>
        <w:snapToGrid w:val="0"/>
        <w:spacing w:line="360" w:lineRule="auto"/>
        <w:ind w:left="293" w:leftChars="122" w:firstLine="168" w:firstLineChars="70"/>
        <w:rPr>
          <w:rFonts w:ascii="宋体" w:hAnsi="宋体"/>
          <w:color w:val="000000"/>
          <w:sz w:val="24"/>
        </w:rPr>
      </w:pPr>
    </w:p>
    <w:tbl>
      <w:tblPr>
        <w:tblStyle w:val="10"/>
        <w:tblpPr w:leftFromText="180" w:rightFromText="180" w:vertAnchor="text" w:horzAnchor="page" w:tblpX="1189" w:tblpY="743"/>
        <w:tblOverlap w:val="never"/>
        <w:tblW w:w="10647" w:type="dxa"/>
        <w:tblInd w:w="0" w:type="dxa"/>
        <w:tblLayout w:type="autofit"/>
        <w:tblCellMar>
          <w:top w:w="0" w:type="dxa"/>
          <w:left w:w="108" w:type="dxa"/>
          <w:bottom w:w="0" w:type="dxa"/>
          <w:right w:w="108" w:type="dxa"/>
        </w:tblCellMar>
      </w:tblPr>
      <w:tblGrid>
        <w:gridCol w:w="713"/>
        <w:gridCol w:w="9001"/>
        <w:gridCol w:w="933"/>
      </w:tblGrid>
      <w:tr>
        <w:tblPrEx>
          <w:tblCellMar>
            <w:top w:w="0" w:type="dxa"/>
            <w:left w:w="108" w:type="dxa"/>
            <w:bottom w:w="0" w:type="dxa"/>
            <w:right w:w="108" w:type="dxa"/>
          </w:tblCellMar>
        </w:tblPrEx>
        <w:trPr>
          <w:trHeight w:val="463" w:hRule="atLeast"/>
        </w:trPr>
        <w:tc>
          <w:tcPr>
            <w:tcW w:w="71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序号</w:t>
            </w:r>
          </w:p>
        </w:tc>
        <w:tc>
          <w:tcPr>
            <w:tcW w:w="90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评分因素及评分细则</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满分分值</w:t>
            </w:r>
          </w:p>
        </w:tc>
      </w:tr>
      <w:tr>
        <w:tblPrEx>
          <w:tblCellMar>
            <w:top w:w="0" w:type="dxa"/>
            <w:left w:w="108" w:type="dxa"/>
            <w:bottom w:w="0" w:type="dxa"/>
            <w:right w:w="108" w:type="dxa"/>
          </w:tblCellMar>
        </w:tblPrEx>
        <w:trPr>
          <w:trHeight w:val="537" w:hRule="atLeast"/>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color w:val="000000"/>
                <w:kern w:val="0"/>
                <w:sz w:val="22"/>
                <w:szCs w:val="22"/>
              </w:rPr>
            </w:pPr>
            <w:r>
              <w:rPr>
                <w:rFonts w:hint="eastAsia" w:cs="宋体" w:asciiTheme="majorEastAsia" w:hAnsiTheme="majorEastAsia" w:eastAsiaTheme="majorEastAsia"/>
                <w:color w:val="000000"/>
                <w:kern w:val="0"/>
                <w:sz w:val="22"/>
                <w:szCs w:val="22"/>
              </w:rPr>
              <w:t>1</w:t>
            </w:r>
          </w:p>
        </w:tc>
        <w:tc>
          <w:tcPr>
            <w:tcW w:w="90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ajorEastAsia" w:hAnsiTheme="majorEastAsia" w:eastAsiaTheme="majorEastAsia"/>
                <w:color w:val="000000"/>
                <w:kern w:val="0"/>
                <w:sz w:val="22"/>
                <w:szCs w:val="22"/>
              </w:rPr>
            </w:pPr>
            <w:r>
              <w:rPr>
                <w:rFonts w:hint="eastAsia" w:cs="宋体" w:asciiTheme="majorEastAsia" w:hAnsiTheme="majorEastAsia" w:eastAsiaTheme="majorEastAsia"/>
                <w:color w:val="000000"/>
                <w:kern w:val="0"/>
                <w:sz w:val="22"/>
                <w:szCs w:val="22"/>
                <w:highlight w:val="none"/>
              </w:rPr>
              <w:t>根据投标人2019年以来（以合同签订时间为准）具有类似集体用餐配送业绩进行评价，每项有效业绩得1分，满分3分。【说明：投标人应完整提供①中标（成交）公告；②中标（成交）通知书；③合同复印件；④服务单位对投标人出具的评价意见为良好（或“满意”）及以上的相关证明文件。①②③④须完整提供，如未按照招标文件提供该业绩完整资料的，该项业绩不给予计分。】</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cs="宋体" w:asciiTheme="majorEastAsia" w:hAnsiTheme="majorEastAsia" w:eastAsiaTheme="majorEastAsia"/>
                <w:color w:val="000000"/>
                <w:kern w:val="0"/>
                <w:sz w:val="22"/>
                <w:szCs w:val="22"/>
                <w:lang w:eastAsia="zh-CN"/>
              </w:rPr>
            </w:pPr>
            <w:r>
              <w:rPr>
                <w:rFonts w:hint="eastAsia" w:cs="宋体" w:asciiTheme="majorEastAsia" w:hAnsiTheme="majorEastAsia" w:eastAsiaTheme="majorEastAsia"/>
                <w:color w:val="000000"/>
                <w:kern w:val="0"/>
                <w:sz w:val="22"/>
                <w:szCs w:val="22"/>
                <w:lang w:val="en-US" w:eastAsia="zh-CN"/>
              </w:rPr>
              <w:t>3</w:t>
            </w:r>
          </w:p>
        </w:tc>
      </w:tr>
      <w:tr>
        <w:tblPrEx>
          <w:tblCellMar>
            <w:top w:w="0" w:type="dxa"/>
            <w:left w:w="108" w:type="dxa"/>
            <w:bottom w:w="0" w:type="dxa"/>
            <w:right w:w="108" w:type="dxa"/>
          </w:tblCellMar>
        </w:tblPrEx>
        <w:trPr>
          <w:trHeight w:val="463" w:hRule="atLeast"/>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color w:val="000000"/>
                <w:kern w:val="0"/>
                <w:sz w:val="22"/>
                <w:szCs w:val="22"/>
              </w:rPr>
            </w:pPr>
            <w:r>
              <w:rPr>
                <w:rFonts w:hint="eastAsia" w:cs="宋体" w:asciiTheme="majorEastAsia" w:hAnsiTheme="majorEastAsia" w:eastAsiaTheme="majorEastAsia"/>
                <w:color w:val="000000"/>
                <w:kern w:val="0"/>
                <w:sz w:val="22"/>
                <w:szCs w:val="22"/>
              </w:rPr>
              <w:t>2</w:t>
            </w:r>
          </w:p>
        </w:tc>
        <w:tc>
          <w:tcPr>
            <w:tcW w:w="900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cs="宋体" w:asciiTheme="majorEastAsia" w:hAnsiTheme="majorEastAsia" w:eastAsiaTheme="majorEastAsia"/>
                <w:color w:val="000000" w:themeColor="text1"/>
                <w:sz w:val="22"/>
                <w:szCs w:val="22"/>
                <w14:textFill>
                  <w14:solidFill>
                    <w14:schemeClr w14:val="tx1"/>
                  </w14:solidFill>
                </w14:textFill>
              </w:rPr>
            </w:pPr>
            <w:r>
              <w:rPr>
                <w:rFonts w:cs="宋体" w:asciiTheme="majorEastAsia" w:hAnsiTheme="majorEastAsia" w:eastAsiaTheme="majorEastAsia"/>
                <w:kern w:val="0"/>
                <w:sz w:val="22"/>
                <w:szCs w:val="22"/>
                <w:lang w:bidi="ar"/>
              </w:rPr>
              <w:t>投标人承诺2019年1月1日至今没有被市场监督管理部门处罚过的得3分，未提供承诺函的不得分。</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color w:val="000000"/>
                <w:kern w:val="0"/>
                <w:sz w:val="22"/>
                <w:szCs w:val="22"/>
              </w:rPr>
            </w:pPr>
            <w:r>
              <w:rPr>
                <w:rFonts w:cs="宋体" w:asciiTheme="majorEastAsia" w:hAnsiTheme="majorEastAsia" w:eastAsiaTheme="majorEastAsia"/>
                <w:color w:val="000000"/>
                <w:kern w:val="0"/>
                <w:sz w:val="22"/>
                <w:szCs w:val="22"/>
              </w:rPr>
              <w:t>3</w:t>
            </w:r>
          </w:p>
        </w:tc>
      </w:tr>
      <w:tr>
        <w:tblPrEx>
          <w:tblCellMar>
            <w:top w:w="0" w:type="dxa"/>
            <w:left w:w="108" w:type="dxa"/>
            <w:bottom w:w="0" w:type="dxa"/>
            <w:right w:w="108" w:type="dxa"/>
          </w:tblCellMar>
        </w:tblPrEx>
        <w:trPr>
          <w:trHeight w:val="463" w:hRule="atLeast"/>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ajorEastAsia" w:hAnsiTheme="majorEastAsia" w:eastAsiaTheme="majorEastAsia"/>
                <w:color w:val="000000"/>
                <w:kern w:val="0"/>
                <w:sz w:val="22"/>
                <w:szCs w:val="22"/>
              </w:rPr>
            </w:pPr>
            <w:r>
              <w:rPr>
                <w:rFonts w:hint="eastAsia" w:cs="宋体" w:asciiTheme="majorEastAsia" w:hAnsiTheme="majorEastAsia" w:eastAsiaTheme="majorEastAsia"/>
                <w:color w:val="000000"/>
                <w:kern w:val="0"/>
                <w:sz w:val="22"/>
                <w:szCs w:val="22"/>
              </w:rPr>
              <w:t>3</w:t>
            </w:r>
          </w:p>
        </w:tc>
        <w:tc>
          <w:tcPr>
            <w:tcW w:w="900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cs="宋体" w:asciiTheme="majorEastAsia" w:hAnsiTheme="majorEastAsia" w:eastAsiaTheme="majorEastAsia"/>
                <w:color w:val="000000" w:themeColor="text1"/>
                <w:sz w:val="22"/>
                <w:szCs w:val="22"/>
                <w14:textFill>
                  <w14:solidFill>
                    <w14:schemeClr w14:val="tx1"/>
                  </w14:solidFill>
                </w14:textFill>
              </w:rPr>
            </w:pPr>
            <w:r>
              <w:rPr>
                <w:rFonts w:cs="宋体" w:asciiTheme="majorEastAsia" w:hAnsiTheme="majorEastAsia" w:eastAsiaTheme="majorEastAsia"/>
                <w:kern w:val="0"/>
                <w:sz w:val="22"/>
                <w:szCs w:val="22"/>
                <w:lang w:bidi="ar"/>
              </w:rPr>
              <w:t>投标人承诺2019年1月1日至今没有被消防部门处罚过的得2分，未提供承诺函的不得分。</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cs="宋体" w:asciiTheme="majorEastAsia" w:hAnsiTheme="majorEastAsia" w:eastAsiaTheme="majorEastAsia"/>
                <w:color w:val="000000"/>
                <w:kern w:val="0"/>
                <w:sz w:val="22"/>
                <w:szCs w:val="22"/>
                <w:lang w:eastAsia="zh-CN"/>
              </w:rPr>
            </w:pPr>
            <w:r>
              <w:rPr>
                <w:rFonts w:hint="eastAsia" w:cs="宋体" w:asciiTheme="majorEastAsia" w:hAnsiTheme="majorEastAsia" w:eastAsiaTheme="majorEastAsia"/>
                <w:color w:val="000000"/>
                <w:kern w:val="0"/>
                <w:sz w:val="22"/>
                <w:szCs w:val="22"/>
                <w:lang w:val="en-US" w:eastAsia="zh-CN"/>
              </w:rPr>
              <w:t>3</w:t>
            </w:r>
          </w:p>
        </w:tc>
      </w:tr>
      <w:tr>
        <w:tblPrEx>
          <w:tblCellMar>
            <w:top w:w="0" w:type="dxa"/>
            <w:left w:w="108" w:type="dxa"/>
            <w:bottom w:w="0" w:type="dxa"/>
            <w:right w:w="108" w:type="dxa"/>
          </w:tblCellMar>
        </w:tblPrEx>
        <w:trPr>
          <w:trHeight w:val="463" w:hRule="atLeast"/>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cs="宋体" w:asciiTheme="majorEastAsia" w:hAnsiTheme="majorEastAsia" w:eastAsiaTheme="majorEastAsia"/>
                <w:color w:val="000000"/>
                <w:kern w:val="0"/>
                <w:sz w:val="22"/>
                <w:szCs w:val="22"/>
                <w:lang w:val="en-US" w:eastAsia="zh-CN"/>
              </w:rPr>
            </w:pPr>
            <w:r>
              <w:rPr>
                <w:rFonts w:hint="eastAsia" w:cs="宋体" w:asciiTheme="majorEastAsia" w:hAnsiTheme="majorEastAsia" w:eastAsiaTheme="majorEastAsia"/>
                <w:color w:val="000000"/>
                <w:kern w:val="0"/>
                <w:sz w:val="22"/>
                <w:szCs w:val="22"/>
                <w:lang w:val="en-US" w:eastAsia="zh-CN"/>
              </w:rPr>
              <w:t>4</w:t>
            </w:r>
          </w:p>
        </w:tc>
        <w:tc>
          <w:tcPr>
            <w:tcW w:w="900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cs="宋体" w:asciiTheme="majorEastAsia" w:hAnsiTheme="majorEastAsia" w:eastAsiaTheme="majorEastAsia"/>
                <w:kern w:val="0"/>
                <w:sz w:val="22"/>
                <w:szCs w:val="22"/>
                <w:lang w:bidi="ar"/>
              </w:rPr>
            </w:pPr>
            <w:r>
              <w:rPr>
                <w:rFonts w:hint="eastAsia" w:cs="宋体" w:asciiTheme="majorEastAsia" w:hAnsiTheme="majorEastAsia" w:eastAsiaTheme="majorEastAsia"/>
                <w:kern w:val="0"/>
                <w:sz w:val="22"/>
                <w:szCs w:val="22"/>
                <w:lang w:bidi="ar"/>
              </w:rPr>
              <w:t>投标人承诺为本项目投保食品安全责任险，且投保金额不得少于人民</w:t>
            </w:r>
            <w:r>
              <w:rPr>
                <w:rFonts w:hint="eastAsia" w:cs="宋体" w:asciiTheme="majorEastAsia" w:hAnsiTheme="majorEastAsia" w:eastAsiaTheme="majorEastAsia"/>
                <w:kern w:val="0"/>
                <w:sz w:val="22"/>
                <w:szCs w:val="22"/>
                <w:highlight w:val="none"/>
                <w:lang w:bidi="ar"/>
              </w:rPr>
              <w:t>币</w:t>
            </w:r>
            <w:r>
              <w:rPr>
                <w:rFonts w:hint="eastAsia" w:cs="宋体" w:asciiTheme="majorEastAsia" w:hAnsiTheme="majorEastAsia" w:eastAsiaTheme="majorEastAsia"/>
                <w:kern w:val="0"/>
                <w:sz w:val="22"/>
                <w:szCs w:val="22"/>
                <w:highlight w:val="none"/>
                <w:lang w:val="en-US" w:eastAsia="zh-CN" w:bidi="ar"/>
              </w:rPr>
              <w:t>100</w:t>
            </w:r>
            <w:r>
              <w:rPr>
                <w:rFonts w:hint="eastAsia" w:cs="宋体" w:asciiTheme="majorEastAsia" w:hAnsiTheme="majorEastAsia" w:eastAsiaTheme="majorEastAsia"/>
                <w:kern w:val="0"/>
                <w:sz w:val="22"/>
                <w:szCs w:val="22"/>
                <w:highlight w:val="none"/>
                <w:lang w:bidi="ar"/>
              </w:rPr>
              <w:t>万元</w:t>
            </w:r>
            <w:r>
              <w:rPr>
                <w:rFonts w:hint="eastAsia" w:cs="宋体" w:asciiTheme="majorEastAsia" w:hAnsiTheme="majorEastAsia" w:eastAsiaTheme="majorEastAsia"/>
                <w:kern w:val="0"/>
                <w:sz w:val="22"/>
                <w:szCs w:val="22"/>
                <w:lang w:bidi="ar"/>
              </w:rPr>
              <w:t>的得</w:t>
            </w:r>
            <w:r>
              <w:rPr>
                <w:rFonts w:hint="eastAsia" w:cs="宋体" w:asciiTheme="majorEastAsia" w:hAnsiTheme="majorEastAsia" w:eastAsiaTheme="majorEastAsia"/>
                <w:kern w:val="0"/>
                <w:sz w:val="22"/>
                <w:szCs w:val="22"/>
                <w:lang w:val="en-US" w:eastAsia="zh-CN" w:bidi="ar"/>
              </w:rPr>
              <w:t>3</w:t>
            </w:r>
            <w:r>
              <w:rPr>
                <w:rFonts w:hint="eastAsia" w:cs="宋体" w:asciiTheme="majorEastAsia" w:hAnsiTheme="majorEastAsia" w:eastAsiaTheme="majorEastAsia"/>
                <w:kern w:val="0"/>
                <w:sz w:val="22"/>
                <w:szCs w:val="22"/>
                <w:lang w:bidi="ar"/>
              </w:rPr>
              <w:t>分，未提供承诺函的不得分。</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cs="宋体" w:asciiTheme="majorEastAsia" w:hAnsiTheme="majorEastAsia" w:eastAsiaTheme="majorEastAsia"/>
                <w:color w:val="000000"/>
                <w:kern w:val="0"/>
                <w:sz w:val="22"/>
                <w:szCs w:val="22"/>
                <w:lang w:val="en-US" w:eastAsia="zh-CN"/>
              </w:rPr>
            </w:pPr>
            <w:r>
              <w:rPr>
                <w:rFonts w:hint="eastAsia" w:cs="宋体" w:asciiTheme="majorEastAsia" w:hAnsiTheme="majorEastAsia" w:eastAsiaTheme="majorEastAsia"/>
                <w:color w:val="000000"/>
                <w:kern w:val="0"/>
                <w:sz w:val="22"/>
                <w:szCs w:val="22"/>
                <w:lang w:val="en-US" w:eastAsia="zh-CN"/>
              </w:rPr>
              <w:t>3</w:t>
            </w:r>
          </w:p>
        </w:tc>
      </w:tr>
    </w:tbl>
    <w:p>
      <w:pPr>
        <w:pStyle w:val="4"/>
        <w:snapToGrid w:val="0"/>
        <w:spacing w:line="360" w:lineRule="auto"/>
        <w:ind w:left="293" w:leftChars="122" w:firstLine="224" w:firstLineChars="7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2.商务因素分F2（满分12分）。</w:t>
      </w:r>
    </w:p>
    <w:p>
      <w:pPr>
        <w:adjustRightInd w:val="0"/>
        <w:snapToGrid w:val="0"/>
        <w:spacing w:line="360" w:lineRule="auto"/>
        <w:rPr>
          <w:rFonts w:ascii="宋体" w:hAnsi="宋体"/>
          <w:kern w:val="0"/>
          <w:sz w:val="24"/>
        </w:rPr>
      </w:pPr>
    </w:p>
    <w:p>
      <w:pPr>
        <w:pStyle w:val="4"/>
        <w:snapToGrid w:val="0"/>
        <w:spacing w:line="360" w:lineRule="auto"/>
        <w:ind w:left="293" w:leftChars="122" w:firstLine="224" w:firstLineChars="70"/>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3.价格因素分F3(满分10分（普通病患餐、糖尿病餐、高蛋白餐三者相加之和比较））</w:t>
      </w:r>
    </w:p>
    <w:p>
      <w:pPr>
        <w:pStyle w:val="2"/>
        <w:rPr>
          <w:rFonts w:hint="eastAsia" w:ascii="仿宋" w:hAnsi="仿宋" w:eastAsia="仿宋" w:cs="仿宋"/>
          <w:color w:val="000000" w:themeColor="text1"/>
          <w:sz w:val="32"/>
          <w:szCs w:val="32"/>
          <w:lang w:eastAsia="zh-CN"/>
          <w14:textFill>
            <w14:solidFill>
              <w14:schemeClr w14:val="tx1"/>
            </w14:solidFill>
          </w14:textFill>
        </w:rPr>
      </w:pPr>
    </w:p>
    <w:p>
      <w:pPr>
        <w:pStyle w:val="6"/>
        <w:sectPr>
          <w:footerReference r:id="rId3" w:type="default"/>
          <w:pgSz w:w="11906" w:h="16838"/>
          <w:pgMar w:top="1440" w:right="1800" w:bottom="1440" w:left="1800" w:header="851" w:footer="992" w:gutter="0"/>
          <w:cols w:space="425" w:num="1"/>
          <w:docGrid w:type="lines" w:linePitch="312" w:charSpace="0"/>
        </w:sectPr>
      </w:pPr>
    </w:p>
    <w:p>
      <w:pPr>
        <w:pStyle w:val="2"/>
        <w:rPr>
          <w:rFonts w:hint="eastAsia"/>
        </w:rPr>
      </w:pPr>
    </w:p>
    <w:p>
      <w:pPr>
        <w:pStyle w:val="2"/>
        <w:rPr>
          <w:rFonts w:hint="eastAsia"/>
        </w:rPr>
      </w:pPr>
    </w:p>
    <w:p>
      <w:pPr>
        <w:spacing w:line="360" w:lineRule="auto"/>
        <w:jc w:val="center"/>
        <w:rPr>
          <w:rFonts w:ascii="宋体" w:hAnsi="宋体"/>
          <w:b/>
          <w:sz w:val="32"/>
        </w:rPr>
      </w:pPr>
      <w:r>
        <w:rPr>
          <w:rFonts w:hint="eastAsia" w:ascii="宋体" w:hAnsi="宋体"/>
          <w:b/>
          <w:sz w:val="32"/>
        </w:rPr>
        <w:t>技术规格和商务偏离表</w:t>
      </w:r>
    </w:p>
    <w:p>
      <w:pPr>
        <w:spacing w:line="360" w:lineRule="auto"/>
        <w:rPr>
          <w:rFonts w:ascii="宋体" w:hAnsi="宋体"/>
          <w:bCs/>
          <w:sz w:val="24"/>
          <w:u w:val="single"/>
        </w:rPr>
      </w:pPr>
      <w:r>
        <w:rPr>
          <w:rFonts w:hint="eastAsia" w:ascii="宋体" w:hAnsi="宋体"/>
          <w:bCs/>
          <w:sz w:val="24"/>
        </w:rPr>
        <w:t>报价人名称（全程并加盖公章）：</w:t>
      </w:r>
      <w:r>
        <w:rPr>
          <w:rFonts w:hint="eastAsia" w:ascii="宋体" w:hAnsi="宋体"/>
          <w:bCs/>
          <w:sz w:val="24"/>
          <w:u w:val="single"/>
        </w:rPr>
        <w:t xml:space="preserve">                  </w:t>
      </w:r>
      <w:r>
        <w:rPr>
          <w:rFonts w:hint="eastAsia" w:ascii="宋体" w:hAnsi="宋体"/>
          <w:bCs/>
          <w:sz w:val="24"/>
        </w:rPr>
        <w:t>项目编号：</w:t>
      </w:r>
      <w:r>
        <w:rPr>
          <w:rFonts w:hint="eastAsia" w:ascii="宋体" w:hAnsi="宋体"/>
          <w:bCs/>
          <w:sz w:val="24"/>
          <w:u w:val="single"/>
        </w:rPr>
        <w:t xml:space="preserve">      </w:t>
      </w:r>
    </w:p>
    <w:tbl>
      <w:tblPr>
        <w:tblStyle w:val="10"/>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440"/>
        <w:gridCol w:w="1800"/>
        <w:gridCol w:w="2340"/>
        <w:gridCol w:w="2880"/>
        <w:gridCol w:w="1386"/>
        <w:gridCol w:w="3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6480"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采购文件要求</w:t>
            </w:r>
          </w:p>
        </w:tc>
        <w:tc>
          <w:tcPr>
            <w:tcW w:w="810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4"/>
              </w:rPr>
            </w:pPr>
            <w:r>
              <w:rPr>
                <w:rFonts w:hint="eastAsia" w:ascii="宋体" w:hAnsi="宋体"/>
                <w:sz w:val="24"/>
              </w:rPr>
              <w:t>谈判响应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sz w:val="18"/>
                <w:szCs w:val="18"/>
              </w:rPr>
            </w:pPr>
            <w:r>
              <w:rPr>
                <w:rFonts w:hint="eastAsia" w:ascii="宋体" w:hAnsi="宋体"/>
                <w:sz w:val="18"/>
                <w:szCs w:val="18"/>
              </w:rPr>
              <w:t>合同包/品目号</w:t>
            </w:r>
          </w:p>
        </w:tc>
        <w:tc>
          <w:tcPr>
            <w:tcW w:w="1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货物名称</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规格条目号</w:t>
            </w:r>
          </w:p>
        </w:tc>
        <w:tc>
          <w:tcPr>
            <w:tcW w:w="23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采购文件要求</w:t>
            </w:r>
          </w:p>
        </w:tc>
        <w:tc>
          <w:tcPr>
            <w:tcW w:w="28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谈判响应情况</w:t>
            </w:r>
          </w:p>
        </w:tc>
        <w:tc>
          <w:tcPr>
            <w:tcW w:w="138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18"/>
                <w:szCs w:val="18"/>
              </w:rPr>
            </w:pPr>
            <w:r>
              <w:rPr>
                <w:rFonts w:hint="eastAsia" w:ascii="宋体" w:hAnsi="宋体"/>
                <w:sz w:val="18"/>
                <w:szCs w:val="18"/>
              </w:rPr>
              <w:t>谈判响应对应的页码</w:t>
            </w:r>
          </w:p>
        </w:tc>
        <w:tc>
          <w:tcPr>
            <w:tcW w:w="3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9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4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80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2880"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1386"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c>
          <w:tcPr>
            <w:tcW w:w="383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4"/>
              </w:rPr>
            </w:pPr>
          </w:p>
        </w:tc>
      </w:tr>
    </w:tbl>
    <w:p>
      <w:pPr>
        <w:spacing w:line="360" w:lineRule="auto"/>
        <w:rPr>
          <w:rFonts w:ascii="宋体" w:hAnsi="宋体"/>
          <w:bCs/>
          <w:sz w:val="24"/>
        </w:rPr>
      </w:pPr>
      <w:r>
        <w:rPr>
          <w:rFonts w:hint="eastAsia" w:ascii="宋体" w:hAnsi="宋体"/>
          <w:bCs/>
          <w:sz w:val="24"/>
        </w:rPr>
        <w:t>注：1.报价人根据采购要求逐条说明谈判响应情况。</w:t>
      </w:r>
    </w:p>
    <w:p>
      <w:pPr>
        <w:spacing w:line="360" w:lineRule="auto"/>
        <w:ind w:firstLine="480" w:firstLineChars="200"/>
        <w:rPr>
          <w:rFonts w:ascii="宋体" w:hAnsi="宋体"/>
          <w:bCs/>
          <w:sz w:val="24"/>
        </w:rPr>
      </w:pPr>
      <w:r>
        <w:rPr>
          <w:rFonts w:hint="eastAsia" w:ascii="宋体" w:hAnsi="宋体"/>
          <w:bCs/>
          <w:sz w:val="24"/>
        </w:rPr>
        <w:t>2.</w:t>
      </w:r>
      <w:r>
        <w:rPr>
          <w:rFonts w:hint="eastAsia" w:ascii="宋体" w:hAnsi="宋体"/>
          <w:sz w:val="24"/>
        </w:rPr>
        <w:t xml:space="preserve"> 报价</w:t>
      </w:r>
      <w:r>
        <w:rPr>
          <w:rFonts w:hint="eastAsia" w:ascii="宋体" w:hAnsi="宋体" w:cs="宋体"/>
          <w:kern w:val="0"/>
          <w:sz w:val="24"/>
          <w:szCs w:val="24"/>
        </w:rPr>
        <w:t>人应对采购文件中的“*”号条款进行逐条响应，否则评审专家对其报价做出不利评审，报价人必须自行承担责任</w:t>
      </w:r>
      <w:r>
        <w:rPr>
          <w:rFonts w:hint="eastAsia" w:ascii="宋体" w:hAnsi="宋体"/>
          <w:bCs/>
          <w:sz w:val="24"/>
        </w:rPr>
        <w:t>。报价人存在弄虚作假行为的，将依法承担响应的法律责任。</w:t>
      </w:r>
    </w:p>
    <w:p>
      <w:pPr>
        <w:spacing w:line="360" w:lineRule="auto"/>
        <w:jc w:val="center"/>
        <w:rPr>
          <w:rFonts w:ascii="宋体" w:hAnsi="宋体"/>
          <w:bCs/>
          <w:sz w:val="24"/>
        </w:rPr>
      </w:pPr>
    </w:p>
    <w:p>
      <w:pPr>
        <w:spacing w:line="360" w:lineRule="auto"/>
        <w:rPr>
          <w:rFonts w:ascii="宋体" w:hAnsi="宋体"/>
          <w:sz w:val="24"/>
        </w:rPr>
        <w:sectPr>
          <w:pgSz w:w="16838" w:h="11906" w:orient="landscape"/>
          <w:pgMar w:top="1797" w:right="1440" w:bottom="1797" w:left="1440" w:header="851" w:footer="992" w:gutter="0"/>
          <w:cols w:space="720" w:num="1"/>
          <w:docGrid w:linePitch="312" w:charSpace="0"/>
        </w:sectPr>
      </w:pPr>
      <w:r>
        <w:rPr>
          <w:rFonts w:hint="eastAsia" w:ascii="宋体" w:hAnsi="宋体"/>
          <w:bCs/>
          <w:sz w:val="24"/>
        </w:rPr>
        <w:t xml:space="preserve"> 报价人代表签字：</w:t>
      </w:r>
      <w:r>
        <w:rPr>
          <w:rFonts w:hint="eastAsia" w:ascii="宋体" w:hAnsi="宋体"/>
          <w:bCs/>
          <w:sz w:val="24"/>
          <w:u w:val="single"/>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Qtk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bG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tC2TICAABj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D55CC9"/>
    <w:multiLevelType w:val="multilevel"/>
    <w:tmpl w:val="62D55CC9"/>
    <w:lvl w:ilvl="0" w:tentative="0">
      <w:start w:val="1"/>
      <w:numFmt w:val="decimal"/>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5"/>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AD3173F"/>
    <w:rsid w:val="000B5420"/>
    <w:rsid w:val="001C620D"/>
    <w:rsid w:val="001F4439"/>
    <w:rsid w:val="00281EFA"/>
    <w:rsid w:val="0030486F"/>
    <w:rsid w:val="004915DE"/>
    <w:rsid w:val="00496EF9"/>
    <w:rsid w:val="005309F4"/>
    <w:rsid w:val="006B66D2"/>
    <w:rsid w:val="007A47A8"/>
    <w:rsid w:val="007D07F4"/>
    <w:rsid w:val="007E2D55"/>
    <w:rsid w:val="0080215F"/>
    <w:rsid w:val="00822BFE"/>
    <w:rsid w:val="00885C5B"/>
    <w:rsid w:val="00A7468B"/>
    <w:rsid w:val="00AB7141"/>
    <w:rsid w:val="00B952B1"/>
    <w:rsid w:val="00BB2714"/>
    <w:rsid w:val="00BD75A8"/>
    <w:rsid w:val="00BE4038"/>
    <w:rsid w:val="00BF4164"/>
    <w:rsid w:val="00C40BFC"/>
    <w:rsid w:val="00CB4D25"/>
    <w:rsid w:val="00E4116E"/>
    <w:rsid w:val="00E60F1F"/>
    <w:rsid w:val="00F27083"/>
    <w:rsid w:val="00F83F86"/>
    <w:rsid w:val="00FA1B75"/>
    <w:rsid w:val="00FB036A"/>
    <w:rsid w:val="01DA23AF"/>
    <w:rsid w:val="03836A76"/>
    <w:rsid w:val="04D72BD5"/>
    <w:rsid w:val="068154EF"/>
    <w:rsid w:val="07762B7A"/>
    <w:rsid w:val="085673C3"/>
    <w:rsid w:val="08A400E0"/>
    <w:rsid w:val="09BF540F"/>
    <w:rsid w:val="0B7F2538"/>
    <w:rsid w:val="0BCB36FB"/>
    <w:rsid w:val="0D3050BA"/>
    <w:rsid w:val="0ED4462A"/>
    <w:rsid w:val="0F704352"/>
    <w:rsid w:val="10D012C8"/>
    <w:rsid w:val="110F2AC8"/>
    <w:rsid w:val="150957FF"/>
    <w:rsid w:val="158C17BA"/>
    <w:rsid w:val="15D46BD0"/>
    <w:rsid w:val="18BE3CDD"/>
    <w:rsid w:val="18C354F3"/>
    <w:rsid w:val="19500BF6"/>
    <w:rsid w:val="1A745694"/>
    <w:rsid w:val="1B544B28"/>
    <w:rsid w:val="1B6D5BEA"/>
    <w:rsid w:val="1BEC1765"/>
    <w:rsid w:val="1CB02A05"/>
    <w:rsid w:val="1DA13912"/>
    <w:rsid w:val="1E0D56D6"/>
    <w:rsid w:val="1E7337F8"/>
    <w:rsid w:val="1EE1557E"/>
    <w:rsid w:val="208539D6"/>
    <w:rsid w:val="210B129B"/>
    <w:rsid w:val="211D59BC"/>
    <w:rsid w:val="243600E0"/>
    <w:rsid w:val="245142FB"/>
    <w:rsid w:val="24EF141E"/>
    <w:rsid w:val="264F6618"/>
    <w:rsid w:val="2AD3173F"/>
    <w:rsid w:val="2C043A01"/>
    <w:rsid w:val="2CD07429"/>
    <w:rsid w:val="2D0924D8"/>
    <w:rsid w:val="2E5C3FC8"/>
    <w:rsid w:val="2EBC48D4"/>
    <w:rsid w:val="3115045E"/>
    <w:rsid w:val="33FD7EEC"/>
    <w:rsid w:val="3620417B"/>
    <w:rsid w:val="370C5FAB"/>
    <w:rsid w:val="3A63681B"/>
    <w:rsid w:val="3C3E2F5F"/>
    <w:rsid w:val="3D9C280C"/>
    <w:rsid w:val="3F6C393F"/>
    <w:rsid w:val="451560BB"/>
    <w:rsid w:val="47436B76"/>
    <w:rsid w:val="48063426"/>
    <w:rsid w:val="48943F06"/>
    <w:rsid w:val="4B4E2A92"/>
    <w:rsid w:val="4B833D7E"/>
    <w:rsid w:val="4CCB05BE"/>
    <w:rsid w:val="4D2E62F6"/>
    <w:rsid w:val="4E0336C0"/>
    <w:rsid w:val="4E9C3B15"/>
    <w:rsid w:val="4ED26B0B"/>
    <w:rsid w:val="4F277882"/>
    <w:rsid w:val="4F750567"/>
    <w:rsid w:val="4F9273F2"/>
    <w:rsid w:val="4FAB2261"/>
    <w:rsid w:val="500068AD"/>
    <w:rsid w:val="50DB6B76"/>
    <w:rsid w:val="525E220E"/>
    <w:rsid w:val="528A1DDF"/>
    <w:rsid w:val="528B1EB5"/>
    <w:rsid w:val="54427383"/>
    <w:rsid w:val="547A1F18"/>
    <w:rsid w:val="56AD2D63"/>
    <w:rsid w:val="5B266C40"/>
    <w:rsid w:val="5BC95A17"/>
    <w:rsid w:val="5BCA7F4A"/>
    <w:rsid w:val="5D861C18"/>
    <w:rsid w:val="5E2C6C63"/>
    <w:rsid w:val="5E902B82"/>
    <w:rsid w:val="60592F95"/>
    <w:rsid w:val="60E3372F"/>
    <w:rsid w:val="629F2AFB"/>
    <w:rsid w:val="62C05BCC"/>
    <w:rsid w:val="63857653"/>
    <w:rsid w:val="64F12CBC"/>
    <w:rsid w:val="65FF4C5D"/>
    <w:rsid w:val="66CD4D5B"/>
    <w:rsid w:val="670E3D2C"/>
    <w:rsid w:val="681635B8"/>
    <w:rsid w:val="68BA3C91"/>
    <w:rsid w:val="6BE4292B"/>
    <w:rsid w:val="6BE55866"/>
    <w:rsid w:val="6C223454"/>
    <w:rsid w:val="6CBF59DD"/>
    <w:rsid w:val="6F983402"/>
    <w:rsid w:val="73CB43D1"/>
    <w:rsid w:val="74024296"/>
    <w:rsid w:val="74337C2D"/>
    <w:rsid w:val="744E128A"/>
    <w:rsid w:val="757D03CD"/>
    <w:rsid w:val="75D5244D"/>
    <w:rsid w:val="76067942"/>
    <w:rsid w:val="761B3E5E"/>
    <w:rsid w:val="774B1AB0"/>
    <w:rsid w:val="787E5CCD"/>
    <w:rsid w:val="78AF3E58"/>
    <w:rsid w:val="78B655FC"/>
    <w:rsid w:val="7A142A05"/>
    <w:rsid w:val="7A3408DA"/>
    <w:rsid w:val="7ACC2147"/>
    <w:rsid w:val="7C66060B"/>
    <w:rsid w:val="7F531E4A"/>
    <w:rsid w:val="7F913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3">
    <w:name w:val="heading 2"/>
    <w:basedOn w:val="1"/>
    <w:next w:val="4"/>
    <w:qFormat/>
    <w:uiPriority w:val="0"/>
    <w:pPr>
      <w:keepNext/>
      <w:keepLines/>
      <w:numPr>
        <w:ilvl w:val="1"/>
        <w:numId w:val="1"/>
      </w:numPr>
      <w:spacing w:line="360" w:lineRule="auto"/>
      <w:jc w:val="center"/>
      <w:outlineLvl w:val="1"/>
    </w:pPr>
    <w:rPr>
      <w:rFonts w:ascii="Arial" w:hAnsi="Arial" w:eastAsia="黑体"/>
      <w:bCs/>
      <w:kern w:val="0"/>
      <w:sz w:val="32"/>
      <w:szCs w:val="32"/>
    </w:rPr>
  </w:style>
  <w:style w:type="paragraph" w:styleId="5">
    <w:name w:val="heading 3"/>
    <w:basedOn w:val="1"/>
    <w:next w:val="1"/>
    <w:qFormat/>
    <w:uiPriority w:val="0"/>
    <w:pPr>
      <w:keepNext/>
      <w:keepLines/>
      <w:numPr>
        <w:ilvl w:val="2"/>
        <w:numId w:val="1"/>
      </w:numPr>
      <w:spacing w:line="360" w:lineRule="auto"/>
      <w:jc w:val="center"/>
      <w:outlineLvl w:val="2"/>
    </w:pPr>
    <w:rPr>
      <w:rFonts w:eastAsia="黑体"/>
      <w:bCs/>
      <w:kern w:val="0"/>
      <w:sz w:val="30"/>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0"/>
    </w:rPr>
  </w:style>
  <w:style w:type="paragraph" w:styleId="4">
    <w:name w:val="Normal Indent"/>
    <w:basedOn w:val="1"/>
    <w:qFormat/>
    <w:uiPriority w:val="0"/>
    <w:pPr>
      <w:ind w:firstLine="420"/>
    </w:pPr>
    <w:rPr>
      <w:szCs w:val="20"/>
    </w:rPr>
  </w:style>
  <w:style w:type="paragraph" w:styleId="6">
    <w:name w:val="Body Text"/>
    <w:basedOn w:val="1"/>
    <w:next w:val="1"/>
    <w:qFormat/>
    <w:uiPriority w:val="1"/>
    <w:rPr>
      <w:rFonts w:ascii="宋体" w:hAnsi="宋体" w:cs="宋体"/>
      <w:sz w:val="21"/>
      <w:szCs w:val="21"/>
      <w:lang w:val="zh-CN" w:eastAsia="zh-CN" w:bidi="zh-CN"/>
    </w:r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basedOn w:val="12"/>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41"/>
    <w:basedOn w:val="12"/>
    <w:qFormat/>
    <w:uiPriority w:val="0"/>
    <w:rPr>
      <w:rFonts w:ascii="Calibri" w:hAnsi="Calibri" w:cs="Calibri"/>
      <w:color w:val="000000"/>
      <w:sz w:val="24"/>
      <w:szCs w:val="24"/>
      <w:u w:val="none"/>
    </w:rPr>
  </w:style>
  <w:style w:type="paragraph" w:customStyle="1" w:styleId="18">
    <w:name w:val="正文 New New New New New New New New New New New New New New New New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lang w:val="en-US" w:eastAsia="zh-CN" w:bidi="ar-SA"/>
    </w:rPr>
  </w:style>
  <w:style w:type="paragraph" w:customStyle="1" w:styleId="19">
    <w:name w:val="Table Paragraph"/>
    <w:basedOn w:val="1"/>
    <w:qFormat/>
    <w:uiPriority w:val="1"/>
    <w:rPr>
      <w:rFonts w:ascii="黑体" w:hAnsi="黑体" w:eastAsia="黑体" w:cs="黑体"/>
      <w:lang w:val="zh-CN" w:eastAsia="zh-CN" w:bidi="zh-CN"/>
    </w:rPr>
  </w:style>
  <w:style w:type="character" w:customStyle="1" w:styleId="20">
    <w:name w:val="批注框文本 字符"/>
    <w:basedOn w:val="12"/>
    <w:link w:val="7"/>
    <w:qFormat/>
    <w:uiPriority w:val="0"/>
    <w:rPr>
      <w:kern w:val="2"/>
      <w:sz w:val="18"/>
      <w:szCs w:val="18"/>
      <w:lang w:eastAsia="zh-TW"/>
    </w:rPr>
  </w:style>
  <w:style w:type="paragraph" w:customStyle="1" w:styleId="21">
    <w:name w:val="a"/>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http://www.xitongtiandi.com</Company>
  <Pages>6</Pages>
  <Words>1820</Words>
  <Characters>1863</Characters>
  <Lines>37</Lines>
  <Paragraphs>10</Paragraphs>
  <TotalTime>4</TotalTime>
  <ScaleCrop>false</ScaleCrop>
  <LinksUpToDate>false</LinksUpToDate>
  <CharactersWithSpaces>1899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2022-09-07T07:29:00Z</dcterms:created>
  <dc:creator>知足常le</dc:creator>
  <cp:lastModifiedBy>svfly</cp:lastModifiedBy>
  <cp:lastPrinted>2022-09-29T00:34:00Z</cp:lastPrinted>
  <dcterms:modified xsi:type="dcterms:W3CDTF">2022-11-24T03:23:41Z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B3EED2B0404C465883F4C861ACD20BCA</vt:lpwstr>
  </property>
</Properties>
</file>