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1"/>
          <w:numId w:val="0"/>
        </w:numPr>
        <w:spacing w:line="500" w:lineRule="exact"/>
        <w:rPr>
          <w:rFonts w:ascii="方正小标宋_GBK" w:hAnsi="方正小标宋_GBK" w:eastAsia="方正小标宋_GBK" w:cs="方正小标宋_GBK"/>
          <w:lang w:val="zh-CN"/>
        </w:rPr>
      </w:pPr>
      <w:bookmarkStart w:id="3" w:name="_GoBack"/>
      <w:bookmarkStart w:id="0" w:name="_Toc501964492"/>
      <w:r>
        <w:rPr>
          <w:rFonts w:hint="eastAsia" w:ascii="方正小标宋_GBK" w:hAnsi="方正小标宋_GBK" w:eastAsia="方正小标宋_GBK" w:cs="方正小标宋_GBK"/>
          <w:sz w:val="44"/>
          <w:szCs w:val="44"/>
          <w:lang w:val="zh-CN"/>
        </w:rPr>
        <w:t>医疗边柜维保服务及零星采购</w:t>
      </w:r>
      <w:bookmarkEnd w:id="0"/>
    </w:p>
    <w:bookmarkEnd w:id="3"/>
    <w:p>
      <w:pPr>
        <w:autoSpaceDE w:val="0"/>
        <w:autoSpaceDN w:val="0"/>
        <w:adjustRightInd w:val="0"/>
        <w:rPr>
          <w:rFonts w:ascii="仿宋" w:hAnsi="仿宋" w:eastAsia="仿宋"/>
          <w:sz w:val="32"/>
          <w:szCs w:val="32"/>
          <w:lang w:val="zh-CN"/>
        </w:rPr>
      </w:pPr>
    </w:p>
    <w:p>
      <w:pPr>
        <w:spacing w:line="360" w:lineRule="auto"/>
        <w:ind w:firstLine="643"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eastAsia="zh-CN"/>
        </w:rPr>
        <w:t>一、招标人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zh-CN" w:eastAsia="zh-CN"/>
        </w:rPr>
        <w:t>厦门医学院附属口腔医院</w:t>
      </w:r>
      <w:r>
        <w:rPr>
          <w:rFonts w:hint="eastAsia" w:ascii="仿宋" w:hAnsi="仿宋" w:eastAsia="仿宋" w:cs="仿宋"/>
          <w:color w:val="000000"/>
          <w:sz w:val="32"/>
          <w:szCs w:val="32"/>
          <w:lang w:eastAsia="zh-CN"/>
        </w:rPr>
        <w:t>。</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eastAsia="zh-CN"/>
        </w:rPr>
        <w:t>二、招标内容：</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口腔边柜、隔断、移动柜、吊柜、储物柜等产品</w:t>
      </w:r>
    </w:p>
    <w:p>
      <w:pPr>
        <w:spacing w:line="360" w:lineRule="auto"/>
        <w:ind w:firstLine="643"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eastAsia="zh-CN"/>
        </w:rPr>
        <w:t>三、</w:t>
      </w:r>
      <w:r>
        <w:rPr>
          <w:rFonts w:hint="eastAsia" w:ascii="仿宋" w:hAnsi="仿宋" w:eastAsia="仿宋" w:cs="仿宋"/>
          <w:b/>
          <w:bCs/>
          <w:color w:val="000000"/>
          <w:sz w:val="32"/>
          <w:szCs w:val="32"/>
          <w:lang w:val="en-US" w:eastAsia="zh-CN"/>
        </w:rPr>
        <w:t>本次招标合同有效</w:t>
      </w:r>
      <w:r>
        <w:rPr>
          <w:rFonts w:hint="eastAsia" w:ascii="仿宋" w:hAnsi="仿宋" w:eastAsia="仿宋" w:cs="仿宋"/>
          <w:b/>
          <w:bCs/>
          <w:color w:val="000000"/>
          <w:sz w:val="32"/>
          <w:szCs w:val="32"/>
          <w:lang w:eastAsia="zh-CN"/>
        </w:rPr>
        <w:t>期限：</w:t>
      </w:r>
      <w:r>
        <w:rPr>
          <w:rFonts w:hint="eastAsia" w:ascii="仿宋" w:hAnsi="仿宋" w:eastAsia="仿宋" w:cs="仿宋"/>
          <w:color w:val="000000"/>
          <w:sz w:val="32"/>
          <w:szCs w:val="32"/>
          <w:lang w:eastAsia="zh-CN"/>
        </w:rPr>
        <w:t>2年。</w:t>
      </w:r>
    </w:p>
    <w:p>
      <w:pPr>
        <w:spacing w:line="360" w:lineRule="auto"/>
        <w:ind w:firstLine="643"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lang w:eastAsia="zh-CN"/>
          <w14:textFill>
            <w14:solidFill>
              <w14:schemeClr w14:val="tx1"/>
            </w14:solidFill>
          </w14:textFill>
        </w:rPr>
        <w:t>四、产品技术参数：</w:t>
      </w:r>
      <w:r>
        <w:rPr>
          <w:rFonts w:hint="eastAsia" w:ascii="仿宋" w:hAnsi="仿宋" w:eastAsia="仿宋" w:cs="仿宋"/>
          <w:color w:val="000000" w:themeColor="text1"/>
          <w:sz w:val="32"/>
          <w:szCs w:val="32"/>
          <w:lang w:eastAsia="zh-CN"/>
          <w14:textFill>
            <w14:solidFill>
              <w14:schemeClr w14:val="tx1"/>
            </w14:solidFill>
          </w14:textFill>
        </w:rPr>
        <w:t>详见附件1</w:t>
      </w:r>
    </w:p>
    <w:p>
      <w:pPr>
        <w:spacing w:line="360" w:lineRule="auto"/>
        <w:ind w:firstLine="643" w:firstLineChars="200"/>
        <w:rPr>
          <w:rFonts w:ascii="仿宋" w:hAnsi="仿宋" w:eastAsia="仿宋" w:cs="仿宋"/>
          <w:b/>
          <w:bCs/>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五</w:t>
      </w:r>
      <w:r>
        <w:rPr>
          <w:rFonts w:hint="eastAsia" w:ascii="仿宋" w:hAnsi="仿宋" w:eastAsia="仿宋" w:cs="仿宋"/>
          <w:b/>
          <w:bCs/>
          <w:color w:val="000000" w:themeColor="text1"/>
          <w:sz w:val="32"/>
          <w:szCs w:val="32"/>
          <w:lang w:eastAsia="zh-CN"/>
          <w14:textFill>
            <w14:solidFill>
              <w14:schemeClr w14:val="tx1"/>
            </w14:solidFill>
          </w14:textFill>
        </w:rPr>
        <w:t>、售后服务内容</w:t>
      </w:r>
    </w:p>
    <w:p>
      <w:pPr>
        <w:spacing w:line="360" w:lineRule="auto"/>
        <w:ind w:firstLine="643" w:firstLineChars="200"/>
        <w:rPr>
          <w:rFonts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lang w:eastAsia="zh-CN"/>
          <w14:textFill>
            <w14:solidFill>
              <w14:schemeClr w14:val="tx1"/>
            </w14:solidFill>
          </w14:textFill>
        </w:rPr>
        <w:t>（一）</w:t>
      </w:r>
      <w:r>
        <w:rPr>
          <w:rFonts w:hint="eastAsia" w:ascii="仿宋" w:hAnsi="仿宋" w:eastAsia="仿宋" w:cs="仿宋"/>
          <w:b/>
          <w:bCs/>
          <w:color w:val="000000" w:themeColor="text1"/>
          <w:sz w:val="32"/>
          <w:szCs w:val="32"/>
          <w14:textFill>
            <w14:solidFill>
              <w14:schemeClr w14:val="tx1"/>
            </w14:solidFill>
          </w14:textFill>
        </w:rPr>
        <w:t>基本要求：</w:t>
      </w:r>
    </w:p>
    <w:p>
      <w:pPr>
        <w:spacing w:line="360" w:lineRule="auto"/>
        <w:ind w:firstLine="640"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1.承诺接到维修报告后，1小时内提供应急策略和解决方案，紧急事故处理2小时内到达维修现场。</w:t>
      </w:r>
    </w:p>
    <w:p>
      <w:pPr>
        <w:spacing w:line="360" w:lineRule="auto"/>
        <w:ind w:firstLine="640"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2.常规问题24小时内处理完毕；重大问题48小时内处理完毕。48小时内不能修复的，无偿提供备机或者备用零件供买方使用。</w:t>
      </w:r>
    </w:p>
    <w:p>
      <w:pPr>
        <w:spacing w:line="360" w:lineRule="auto"/>
        <w:ind w:firstLine="640"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3.如因设备本身缺陷导致的各种故障，给用户造成的所有损失，用户依据法律有保留进一步提出索赔的权力。</w:t>
      </w:r>
    </w:p>
    <w:p>
      <w:pPr>
        <w:spacing w:line="360" w:lineRule="auto"/>
        <w:ind w:firstLine="640"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4.福建地区必须有售后服务网点。</w:t>
      </w:r>
    </w:p>
    <w:p>
      <w:pPr>
        <w:ind w:firstLine="643" w:firstLineChars="200"/>
        <w:rPr>
          <w:rFonts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lang w:eastAsia="zh-CN"/>
          <w14:textFill>
            <w14:solidFill>
              <w14:schemeClr w14:val="tx1"/>
            </w14:solidFill>
          </w14:textFill>
        </w:rPr>
        <w:t>（二）</w:t>
      </w:r>
      <w:r>
        <w:rPr>
          <w:rFonts w:hint="eastAsia" w:ascii="仿宋" w:hAnsi="仿宋" w:eastAsia="仿宋"/>
          <w:b/>
          <w:bCs/>
          <w:color w:val="000000" w:themeColor="text1"/>
          <w:sz w:val="32"/>
          <w:szCs w:val="32"/>
          <w14:textFill>
            <w14:solidFill>
              <w14:schemeClr w14:val="tx1"/>
            </w14:solidFill>
          </w14:textFill>
        </w:rPr>
        <w:t>具体要求：</w:t>
      </w:r>
    </w:p>
    <w:p>
      <w:pPr>
        <w:pStyle w:val="2"/>
        <w:rPr>
          <w:rFonts w:ascii="仿宋" w:hAnsi="仿宋" w:eastAsia="仿宋"/>
          <w:b/>
          <w:bCs/>
          <w:color w:val="000000" w:themeColor="text1"/>
          <w:sz w:val="32"/>
          <w:szCs w:val="32"/>
          <w:lang w:val="en-US"/>
          <w14:textFill>
            <w14:solidFill>
              <w14:schemeClr w14:val="tx1"/>
            </w14:solidFill>
          </w14:textFill>
        </w:rPr>
      </w:pPr>
      <w:r>
        <w:rPr>
          <w:rFonts w:hint="eastAsia" w:ascii="仿宋" w:hAnsi="仿宋" w:eastAsia="仿宋"/>
          <w:b/>
          <w:bCs/>
          <w:color w:val="000000" w:themeColor="text1"/>
          <w:sz w:val="32"/>
          <w:szCs w:val="32"/>
          <w:lang w:val="en-US"/>
          <w14:textFill>
            <w14:solidFill>
              <w14:schemeClr w14:val="tx1"/>
            </w14:solidFill>
          </w14:textFill>
        </w:rPr>
        <w:t xml:space="preserve">   1.质保期：</w:t>
      </w:r>
      <w:r>
        <w:rPr>
          <w:rFonts w:hint="eastAsia" w:ascii="仿宋" w:hAnsi="仿宋" w:eastAsia="仿宋" w:cs="仿宋"/>
          <w:color w:val="000000" w:themeColor="text1"/>
          <w:sz w:val="32"/>
          <w:szCs w:val="32"/>
          <w:lang w:val="en-US" w:bidi="ar-SA"/>
          <w14:textFill>
            <w14:solidFill>
              <w14:schemeClr w14:val="tx1"/>
            </w14:solidFill>
          </w14:textFill>
        </w:rPr>
        <w:t>5年</w:t>
      </w:r>
    </w:p>
    <w:p>
      <w:pPr>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b/>
          <w:bCs/>
          <w:color w:val="000000" w:themeColor="text1"/>
          <w:sz w:val="32"/>
          <w:szCs w:val="32"/>
          <w:lang w:eastAsia="zh-CN"/>
          <w14:textFill>
            <w14:solidFill>
              <w14:schemeClr w14:val="tx1"/>
            </w14:solidFill>
          </w14:textFill>
        </w:rPr>
        <w:t xml:space="preserve">   2.</w:t>
      </w:r>
      <w:r>
        <w:rPr>
          <w:rFonts w:hint="eastAsia" w:ascii="仿宋" w:hAnsi="仿宋" w:eastAsia="仿宋" w:cs="宋体"/>
          <w:b/>
          <w:bCs/>
          <w:color w:val="000000" w:themeColor="text1"/>
          <w:sz w:val="32"/>
          <w:szCs w:val="32"/>
          <w:lang w:eastAsia="zh-CN" w:bidi="zh-CN"/>
          <w14:textFill>
            <w14:solidFill>
              <w14:schemeClr w14:val="tx1"/>
            </w14:solidFill>
          </w14:textFill>
        </w:rPr>
        <w:t>合同履行：</w:t>
      </w:r>
      <w:r>
        <w:rPr>
          <w:rFonts w:hint="eastAsia" w:ascii="仿宋" w:hAnsi="仿宋" w:eastAsia="仿宋" w:cs="宋体"/>
          <w:b/>
          <w:bCs/>
          <w:color w:val="000000" w:themeColor="text1"/>
          <w:sz w:val="32"/>
          <w:szCs w:val="32"/>
          <w:lang w:val="en-US" w:eastAsia="zh-CN" w:bidi="zh-CN"/>
          <w14:textFill>
            <w14:solidFill>
              <w14:schemeClr w14:val="tx1"/>
            </w14:solidFill>
          </w14:textFill>
        </w:rPr>
        <w:t>下单后</w:t>
      </w:r>
      <w:r>
        <w:rPr>
          <w:rFonts w:hint="eastAsia" w:ascii="仿宋" w:hAnsi="仿宋" w:eastAsia="仿宋" w:cs="仿宋"/>
          <w:color w:val="000000" w:themeColor="text1"/>
          <w:sz w:val="32"/>
          <w:szCs w:val="32"/>
          <w:lang w:eastAsia="zh-CN"/>
          <w14:textFill>
            <w14:solidFill>
              <w14:schemeClr w14:val="tx1"/>
            </w14:solidFill>
          </w14:textFill>
        </w:rPr>
        <w:t>30日内交货</w:t>
      </w:r>
    </w:p>
    <w:p>
      <w:pPr>
        <w:pStyle w:val="2"/>
        <w:numPr>
          <w:ilvl w:val="0"/>
          <w:numId w:val="0"/>
        </w:numPr>
        <w:spacing w:before="0" w:line="360" w:lineRule="auto"/>
        <w:ind w:firstLine="643" w:firstLineChars="200"/>
        <w:rPr>
          <w:rFonts w:hint="eastAsia" w:ascii="仿宋" w:hAnsi="仿宋" w:eastAsia="仿宋" w:cs="仿宋"/>
          <w:color w:val="000000" w:themeColor="text1"/>
          <w:sz w:val="32"/>
          <w:szCs w:val="32"/>
          <w:lang w:val="en-US" w:bidi="ar-SA"/>
          <w14:textFill>
            <w14:solidFill>
              <w14:schemeClr w14:val="tx1"/>
            </w14:solidFill>
          </w14:textFill>
        </w:rPr>
      </w:pPr>
      <w:r>
        <w:rPr>
          <w:rFonts w:hint="eastAsia" w:ascii="仿宋" w:hAnsi="仿宋" w:eastAsia="仿宋"/>
          <w:b/>
          <w:bCs/>
          <w:color w:val="000000" w:themeColor="text1"/>
          <w:sz w:val="32"/>
          <w:szCs w:val="32"/>
          <w:lang w:val="en-US"/>
          <w14:textFill>
            <w14:solidFill>
              <w14:schemeClr w14:val="tx1"/>
            </w14:solidFill>
          </w14:textFill>
        </w:rPr>
        <w:t>3.交货地点</w:t>
      </w:r>
      <w:r>
        <w:rPr>
          <w:rFonts w:hint="eastAsia" w:ascii="仿宋" w:hAnsi="仿宋" w:eastAsia="仿宋" w:cs="仿宋"/>
          <w:color w:val="000000" w:themeColor="text1"/>
          <w:sz w:val="32"/>
          <w:szCs w:val="32"/>
          <w:lang w:val="en-US" w:bidi="ar-SA"/>
          <w14:textFill>
            <w14:solidFill>
              <w14:schemeClr w14:val="tx1"/>
            </w14:solidFill>
          </w14:textFill>
        </w:rPr>
        <w:t>：合同指定地点</w:t>
      </w:r>
      <w:bookmarkStart w:id="1" w:name="_Toc8869"/>
    </w:p>
    <w:bookmarkEnd w:id="1"/>
    <w:p>
      <w:pPr>
        <w:spacing w:line="360" w:lineRule="auto"/>
        <w:ind w:firstLine="643" w:firstLineChars="200"/>
        <w:rPr>
          <w:rFonts w:hint="default"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六</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验收条件</w:t>
      </w:r>
    </w:p>
    <w:p>
      <w:pPr>
        <w:widowControl/>
        <w:spacing w:line="360" w:lineRule="auto"/>
        <w:ind w:right="90" w:firstLine="487" w:firstLineChars="203"/>
        <w:jc w:val="left"/>
        <w:rPr>
          <w:rFonts w:hint="eastAsia" w:ascii="宋体" w:hAnsi="宋体"/>
          <w:color w:val="000000"/>
          <w:kern w:val="0"/>
          <w:sz w:val="24"/>
        </w:rPr>
      </w:pPr>
    </w:p>
    <w:p>
      <w:pPr>
        <w:widowControl/>
        <w:spacing w:line="360" w:lineRule="auto"/>
        <w:ind w:right="0" w:firstLine="640" w:firstLineChars="200"/>
        <w:jc w:val="left"/>
        <w:rPr>
          <w:rFonts w:hint="eastAsia" w:ascii="仿宋" w:hAnsi="仿宋" w:eastAsia="仿宋" w:cs="仿宋"/>
          <w:color w:val="000000" w:themeColor="text1"/>
          <w:kern w:val="2"/>
          <w:sz w:val="32"/>
          <w:szCs w:val="32"/>
          <w:lang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14:textFill>
            <w14:solidFill>
              <w14:schemeClr w14:val="tx1"/>
            </w14:solidFill>
          </w14:textFill>
        </w:rPr>
        <w:t>1.</w:t>
      </w:r>
      <w:r>
        <w:rPr>
          <w:rFonts w:hint="eastAsia" w:ascii="仿宋" w:hAnsi="仿宋" w:eastAsia="仿宋" w:cs="仿宋"/>
          <w:color w:val="000000" w:themeColor="text1"/>
          <w:kern w:val="2"/>
          <w:sz w:val="32"/>
          <w:szCs w:val="32"/>
          <w:lang w:eastAsia="zh-CN"/>
          <w14:textFill>
            <w14:solidFill>
              <w14:schemeClr w14:val="tx1"/>
            </w14:solidFill>
          </w14:textFill>
        </w:rPr>
        <w:t xml:space="preserve"> 成交供应商提供</w:t>
      </w:r>
      <w:r>
        <w:rPr>
          <w:rFonts w:hint="eastAsia" w:ascii="仿宋" w:hAnsi="仿宋" w:eastAsia="仿宋" w:cs="仿宋"/>
          <w:color w:val="000000" w:themeColor="text1"/>
          <w:kern w:val="2"/>
          <w:sz w:val="32"/>
          <w:szCs w:val="32"/>
          <w:lang w:val="en-US" w:eastAsia="zh-CN"/>
          <w14:textFill>
            <w14:solidFill>
              <w14:schemeClr w14:val="tx1"/>
            </w14:solidFill>
          </w14:textFill>
        </w:rPr>
        <w:t>货物</w:t>
      </w:r>
      <w:r>
        <w:rPr>
          <w:rFonts w:hint="eastAsia" w:ascii="仿宋" w:hAnsi="仿宋" w:eastAsia="仿宋" w:cs="仿宋"/>
          <w:color w:val="000000" w:themeColor="text1"/>
          <w:kern w:val="2"/>
          <w:sz w:val="32"/>
          <w:szCs w:val="32"/>
          <w:lang w:eastAsia="zh-CN"/>
          <w14:textFill>
            <w14:solidFill>
              <w14:schemeClr w14:val="tx1"/>
            </w14:solidFill>
          </w14:textFill>
        </w:rPr>
        <w:t>的制造标准、安装标准及技术规范等有关资料必须符合</w:t>
      </w:r>
      <w:r>
        <w:rPr>
          <w:rFonts w:hint="eastAsia" w:ascii="仿宋" w:hAnsi="仿宋" w:eastAsia="仿宋" w:cs="仿宋"/>
          <w:color w:val="000000" w:themeColor="text1"/>
          <w:kern w:val="2"/>
          <w:sz w:val="32"/>
          <w:szCs w:val="32"/>
          <w:lang w:val="en-US" w:eastAsia="zh-CN"/>
          <w14:textFill>
            <w14:solidFill>
              <w14:schemeClr w14:val="tx1"/>
            </w14:solidFill>
          </w14:textFill>
        </w:rPr>
        <w:t>图纸、</w:t>
      </w:r>
      <w:r>
        <w:rPr>
          <w:rFonts w:hint="eastAsia" w:ascii="仿宋" w:hAnsi="仿宋" w:eastAsia="仿宋" w:cs="仿宋"/>
          <w:color w:val="000000" w:themeColor="text1"/>
          <w:kern w:val="2"/>
          <w:sz w:val="32"/>
          <w:szCs w:val="32"/>
          <w:lang w:eastAsia="zh-CN"/>
          <w14:textFill>
            <w14:solidFill>
              <w14:schemeClr w14:val="tx1"/>
            </w14:solidFill>
          </w14:textFill>
        </w:rPr>
        <w:t>国家相应的有关标准、规范要求。</w:t>
      </w:r>
    </w:p>
    <w:p>
      <w:pPr>
        <w:widowControl/>
        <w:spacing w:line="360" w:lineRule="auto"/>
        <w:ind w:right="0" w:firstLine="640" w:firstLineChars="200"/>
        <w:jc w:val="left"/>
        <w:rPr>
          <w:rFonts w:hint="eastAsia" w:ascii="仿宋" w:hAnsi="仿宋" w:eastAsia="仿宋" w:cs="仿宋"/>
          <w:color w:val="000000" w:themeColor="text1"/>
          <w:kern w:val="2"/>
          <w:sz w:val="32"/>
          <w:szCs w:val="32"/>
          <w:lang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14:textFill>
            <w14:solidFill>
              <w14:schemeClr w14:val="tx1"/>
            </w14:solidFill>
          </w14:textFill>
        </w:rPr>
        <w:t>2.</w:t>
      </w:r>
      <w:r>
        <w:rPr>
          <w:rFonts w:hint="eastAsia" w:ascii="仿宋" w:hAnsi="仿宋" w:eastAsia="仿宋" w:cs="仿宋"/>
          <w:color w:val="000000" w:themeColor="text1"/>
          <w:kern w:val="2"/>
          <w:sz w:val="32"/>
          <w:szCs w:val="32"/>
          <w:lang w:eastAsia="zh-CN"/>
          <w14:textFill>
            <w14:solidFill>
              <w14:schemeClr w14:val="tx1"/>
            </w14:solidFill>
          </w14:textFill>
        </w:rPr>
        <w:t>采购人根据</w:t>
      </w:r>
      <w:r>
        <w:rPr>
          <w:rFonts w:hint="eastAsia" w:ascii="仿宋" w:hAnsi="仿宋" w:eastAsia="仿宋" w:cs="仿宋"/>
          <w:color w:val="000000" w:themeColor="text1"/>
          <w:kern w:val="2"/>
          <w:sz w:val="32"/>
          <w:szCs w:val="32"/>
          <w:lang w:val="en-US" w:eastAsia="zh-CN"/>
          <w14:textFill>
            <w14:solidFill>
              <w14:schemeClr w14:val="tx1"/>
            </w14:solidFill>
          </w14:textFill>
        </w:rPr>
        <w:t>磋商</w:t>
      </w:r>
      <w:r>
        <w:rPr>
          <w:rFonts w:hint="eastAsia" w:ascii="仿宋" w:hAnsi="仿宋" w:eastAsia="仿宋" w:cs="仿宋"/>
          <w:color w:val="000000" w:themeColor="text1"/>
          <w:kern w:val="2"/>
          <w:sz w:val="32"/>
          <w:szCs w:val="32"/>
          <w:lang w:eastAsia="zh-CN"/>
          <w14:textFill>
            <w14:solidFill>
              <w14:schemeClr w14:val="tx1"/>
            </w14:solidFill>
          </w14:textFill>
        </w:rPr>
        <w:t>文件、成交供应商的响应文件、合同、制造厂商的产品验收标准及中华人民共和国有关标准进行验收。</w:t>
      </w:r>
    </w:p>
    <w:p>
      <w:pPr>
        <w:widowControl/>
        <w:spacing w:line="360" w:lineRule="auto"/>
        <w:ind w:right="0" w:firstLine="640" w:firstLineChars="200"/>
        <w:jc w:val="left"/>
        <w:rPr>
          <w:rFonts w:hint="eastAsia" w:ascii="仿宋" w:hAnsi="仿宋" w:eastAsia="仿宋" w:cs="仿宋"/>
          <w:color w:val="000000" w:themeColor="text1"/>
          <w:kern w:val="2"/>
          <w:sz w:val="32"/>
          <w:szCs w:val="32"/>
          <w:lang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14:textFill>
            <w14:solidFill>
              <w14:schemeClr w14:val="tx1"/>
            </w14:solidFill>
          </w14:textFill>
        </w:rPr>
        <w:t>3.</w:t>
      </w:r>
      <w:r>
        <w:rPr>
          <w:rFonts w:hint="eastAsia" w:ascii="仿宋" w:hAnsi="仿宋" w:eastAsia="仿宋" w:cs="仿宋"/>
          <w:color w:val="000000" w:themeColor="text1"/>
          <w:kern w:val="2"/>
          <w:sz w:val="32"/>
          <w:szCs w:val="32"/>
          <w:lang w:eastAsia="zh-CN"/>
          <w14:textFill>
            <w14:solidFill>
              <w14:schemeClr w14:val="tx1"/>
            </w14:solidFill>
          </w14:textFill>
        </w:rPr>
        <w:t>成交供应商应提供货物制造商的出厂检验报告、合格证书。</w:t>
      </w:r>
    </w:p>
    <w:p>
      <w:pPr>
        <w:widowControl/>
        <w:spacing w:line="360" w:lineRule="auto"/>
        <w:ind w:right="0" w:firstLine="640" w:firstLineChars="200"/>
        <w:jc w:val="left"/>
        <w:rPr>
          <w:rFonts w:hint="eastAsia" w:ascii="仿宋" w:hAnsi="仿宋" w:eastAsia="仿宋" w:cs="仿宋"/>
          <w:color w:val="000000" w:themeColor="text1"/>
          <w:kern w:val="2"/>
          <w:sz w:val="32"/>
          <w:szCs w:val="32"/>
          <w:lang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14:textFill>
            <w14:solidFill>
              <w14:schemeClr w14:val="tx1"/>
            </w14:solidFill>
          </w14:textFill>
        </w:rPr>
        <w:t>4.</w:t>
      </w:r>
      <w:r>
        <w:rPr>
          <w:rFonts w:hint="eastAsia" w:ascii="仿宋" w:hAnsi="仿宋" w:eastAsia="仿宋" w:cs="仿宋"/>
          <w:color w:val="000000" w:themeColor="text1"/>
          <w:kern w:val="2"/>
          <w:sz w:val="32"/>
          <w:szCs w:val="32"/>
          <w:lang w:eastAsia="zh-CN"/>
          <w14:textFill>
            <w14:solidFill>
              <w14:schemeClr w14:val="tx1"/>
            </w14:solidFill>
          </w14:textFill>
        </w:rPr>
        <w:t>成交供应商根据合同要求进行货物安装、调试后，由采购人进行使用性能方面的验收。</w:t>
      </w:r>
    </w:p>
    <w:p>
      <w:pPr>
        <w:widowControl/>
        <w:spacing w:line="360" w:lineRule="auto"/>
        <w:ind w:right="0" w:firstLine="640" w:firstLineChars="200"/>
        <w:jc w:val="left"/>
        <w:rPr>
          <w:rFonts w:hint="eastAsia" w:ascii="仿宋" w:hAnsi="仿宋" w:eastAsia="仿宋" w:cs="仿宋"/>
          <w:color w:val="000000" w:themeColor="text1"/>
          <w:kern w:val="2"/>
          <w:sz w:val="32"/>
          <w:szCs w:val="32"/>
          <w:lang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14:textFill>
            <w14:solidFill>
              <w14:schemeClr w14:val="tx1"/>
            </w14:solidFill>
          </w14:textFill>
        </w:rPr>
        <w:t>5.</w:t>
      </w:r>
      <w:r>
        <w:rPr>
          <w:rFonts w:hint="eastAsia" w:ascii="仿宋" w:hAnsi="仿宋" w:eastAsia="仿宋" w:cs="仿宋"/>
          <w:color w:val="000000" w:themeColor="text1"/>
          <w:kern w:val="2"/>
          <w:sz w:val="32"/>
          <w:szCs w:val="32"/>
          <w:lang w:eastAsia="zh-CN"/>
          <w14:textFill>
            <w14:solidFill>
              <w14:schemeClr w14:val="tx1"/>
            </w14:solidFill>
          </w14:textFill>
        </w:rPr>
        <w:t>成交供应商应向采购人提供完整的设备技术资料，采购人有权委托国家认可的质量检测机构对设备性能、精度进行复核。</w:t>
      </w:r>
    </w:p>
    <w:p>
      <w:pPr>
        <w:ind w:firstLine="643" w:firstLineChars="200"/>
        <w:rPr>
          <w:rFonts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lang w:eastAsia="zh-CN"/>
          <w14:textFill>
            <w14:solidFill>
              <w14:schemeClr w14:val="tx1"/>
            </w14:solidFill>
          </w14:textFill>
        </w:rPr>
        <w:t>七、</w:t>
      </w:r>
      <w:r>
        <w:rPr>
          <w:rFonts w:hint="eastAsia" w:ascii="仿宋" w:hAnsi="仿宋" w:eastAsia="仿宋"/>
          <w:b/>
          <w:bCs/>
          <w:color w:val="000000" w:themeColor="text1"/>
          <w:sz w:val="32"/>
          <w:szCs w:val="32"/>
          <w14:textFill>
            <w14:solidFill>
              <w14:schemeClr w14:val="tx1"/>
            </w14:solidFill>
          </w14:textFill>
        </w:rPr>
        <w:t>投标文件应包括下列内容</w:t>
      </w:r>
    </w:p>
    <w:p>
      <w:pPr>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资格证明材料：营业执照、税务登记证明</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医疗器械经营许可证或经营备案凭证</w:t>
      </w:r>
      <w:r>
        <w:rPr>
          <w:rFonts w:hint="eastAsia" w:ascii="仿宋" w:hAnsi="仿宋" w:eastAsia="仿宋"/>
          <w:color w:val="000000" w:themeColor="text1"/>
          <w:sz w:val="32"/>
          <w:szCs w:val="32"/>
          <w14:textFill>
            <w14:solidFill>
              <w14:schemeClr w14:val="tx1"/>
            </w14:solidFill>
          </w14:textFill>
        </w:rPr>
        <w:t>的有效证明（须加盖法人章和法定代表人或其委托代理人印章或签字）</w:t>
      </w:r>
      <w:r>
        <w:rPr>
          <w:rFonts w:hint="eastAsia" w:ascii="仿宋" w:hAnsi="仿宋" w:eastAsia="仿宋"/>
          <w:color w:val="000000" w:themeColor="text1"/>
          <w:sz w:val="32"/>
          <w:szCs w:val="32"/>
          <w:lang w:eastAsia="zh-CN"/>
          <w14:textFill>
            <w14:solidFill>
              <w14:schemeClr w14:val="tx1"/>
            </w14:solidFill>
          </w14:textFill>
        </w:rPr>
        <w:t>。</w:t>
      </w:r>
    </w:p>
    <w:p>
      <w:pPr>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eastAsia="zh-CN"/>
          <w14:textFill>
            <w14:solidFill>
              <w14:schemeClr w14:val="tx1"/>
            </w14:solidFill>
          </w14:textFill>
        </w:rPr>
        <w:t>2.</w:t>
      </w:r>
      <w:r>
        <w:rPr>
          <w:rFonts w:hint="eastAsia" w:ascii="仿宋" w:hAnsi="仿宋" w:eastAsia="仿宋"/>
          <w:color w:val="000000" w:themeColor="text1"/>
          <w:sz w:val="32"/>
          <w:szCs w:val="32"/>
          <w14:textFill>
            <w14:solidFill>
              <w14:schemeClr w14:val="tx1"/>
            </w14:solidFill>
          </w14:textFill>
        </w:rPr>
        <w:t>法定代表人身份证明和授权委托书(如有授权);</w:t>
      </w:r>
    </w:p>
    <w:p>
      <w:pPr>
        <w:ind w:firstLine="640" w:firstLineChars="200"/>
        <w:rPr>
          <w:rFonts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lang w:eastAsia="zh-CN"/>
          <w14:textFill>
            <w14:solidFill>
              <w14:schemeClr w14:val="tx1"/>
            </w14:solidFill>
          </w14:textFill>
        </w:rPr>
        <w:t>3.边柜报价表和常用配件及易损件报价清单</w:t>
      </w:r>
      <w:r>
        <w:rPr>
          <w:rFonts w:hint="eastAsia" w:ascii="仿宋" w:hAnsi="仿宋" w:eastAsia="仿宋"/>
          <w:color w:val="000000" w:themeColor="text1"/>
          <w:sz w:val="32"/>
          <w:szCs w:val="32"/>
          <w14:textFill>
            <w14:solidFill>
              <w14:schemeClr w14:val="tx1"/>
            </w14:solidFill>
          </w14:textFill>
        </w:rPr>
        <w:t>；</w:t>
      </w:r>
    </w:p>
    <w:p>
      <w:pPr>
        <w:ind w:firstLine="640" w:firstLineChars="200"/>
        <w:rPr>
          <w:rFonts w:ascii="仿宋" w:hAnsi="仿宋" w:eastAsia="仿宋"/>
          <w:color w:val="000000" w:themeColor="text1"/>
          <w:sz w:val="32"/>
          <w:szCs w:val="32"/>
          <w14:textFill>
            <w14:solidFill>
              <w14:schemeClr w14:val="tx1"/>
            </w14:solidFill>
          </w14:textFill>
        </w:rPr>
      </w:pPr>
      <w:r>
        <w:rPr>
          <w:rFonts w:hint="eastAsia" w:eastAsia="仿宋"/>
          <w:color w:val="000000" w:themeColor="text1"/>
          <w:sz w:val="32"/>
          <w:szCs w:val="32"/>
          <w:lang w:eastAsia="zh-CN"/>
          <w14:textFill>
            <w14:solidFill>
              <w14:schemeClr w14:val="tx1"/>
            </w14:solidFill>
          </w14:textFill>
        </w:rPr>
        <w:t>4</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所投品牌产品</w:t>
      </w:r>
      <w:r>
        <w:rPr>
          <w:rFonts w:hint="eastAsia" w:ascii="仿宋" w:hAnsi="仿宋" w:eastAsia="仿宋"/>
          <w:color w:val="000000" w:themeColor="text1"/>
          <w:sz w:val="32"/>
          <w:szCs w:val="32"/>
          <w14:textFill>
            <w14:solidFill>
              <w14:schemeClr w14:val="tx1"/>
            </w14:solidFill>
          </w14:textFill>
        </w:rPr>
        <w:t>近三年企业业绩一览表（并提供合同复印件加盖投标人公章）；</w:t>
      </w:r>
    </w:p>
    <w:p>
      <w:pPr>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eastAsia="zh-CN"/>
          <w14:textFill>
            <w14:solidFill>
              <w14:schemeClr w14:val="tx1"/>
            </w14:solidFill>
          </w14:textFill>
        </w:rPr>
        <w:t>5.</w:t>
      </w:r>
      <w:r>
        <w:rPr>
          <w:rFonts w:hint="eastAsia" w:ascii="仿宋" w:hAnsi="仿宋" w:eastAsia="仿宋"/>
          <w:color w:val="000000" w:themeColor="text1"/>
          <w:sz w:val="32"/>
          <w:szCs w:val="32"/>
          <w14:textFill>
            <w14:solidFill>
              <w14:schemeClr w14:val="tx1"/>
            </w14:solidFill>
          </w14:textFill>
        </w:rPr>
        <w:t>投标人认为有必要提供的声明、文件以及附件中需要提供的证明材料；</w:t>
      </w:r>
    </w:p>
    <w:p>
      <w:pPr>
        <w:pStyle w:val="2"/>
        <w:rPr>
          <w:rFonts w:eastAsia="仿宋"/>
          <w:color w:val="000000" w:themeColor="text1"/>
          <w:lang w:val="en-US"/>
          <w14:textFill>
            <w14:solidFill>
              <w14:schemeClr w14:val="tx1"/>
            </w14:solidFill>
          </w14:textFill>
        </w:rPr>
      </w:pPr>
      <w:r>
        <w:rPr>
          <w:rFonts w:hint="eastAsia" w:ascii="仿宋" w:hAnsi="仿宋" w:eastAsia="仿宋"/>
          <w:color w:val="000000" w:themeColor="text1"/>
          <w:sz w:val="32"/>
          <w:szCs w:val="32"/>
          <w:lang w:val="en-US"/>
          <w14:textFill>
            <w14:solidFill>
              <w14:schemeClr w14:val="tx1"/>
            </w14:solidFill>
          </w14:textFill>
        </w:rPr>
        <w:t xml:space="preserve">    6.</w:t>
      </w:r>
      <w:r>
        <w:rPr>
          <w:rFonts w:hint="eastAsia" w:ascii="仿宋" w:hAnsi="仿宋" w:eastAsia="仿宋" w:cs="仿宋"/>
          <w:color w:val="000000" w:themeColor="text1"/>
          <w:sz w:val="32"/>
          <w:szCs w:val="32"/>
          <w14:textFill>
            <w14:solidFill>
              <w14:schemeClr w14:val="tx1"/>
            </w14:solidFill>
          </w14:textFill>
        </w:rPr>
        <w:t xml:space="preserve"> 所投品牌</w:t>
      </w:r>
      <w:r>
        <w:rPr>
          <w:rFonts w:hint="eastAsia" w:ascii="仿宋" w:hAnsi="仿宋" w:eastAsia="仿宋"/>
          <w:color w:val="000000" w:themeColor="text1"/>
          <w:sz w:val="32"/>
          <w:szCs w:val="32"/>
          <w:lang w:val="en-US"/>
          <w14:textFill>
            <w14:solidFill>
              <w14:schemeClr w14:val="tx1"/>
            </w14:solidFill>
          </w14:textFill>
        </w:rPr>
        <w:t>边柜产品质量证明书及国家级检测报告。</w:t>
      </w:r>
    </w:p>
    <w:p>
      <w:pPr>
        <w:ind w:firstLine="643" w:firstLineChars="200"/>
        <w:rPr>
          <w:rFonts w:ascii="仿宋" w:hAnsi="仿宋" w:eastAsia="仿宋"/>
          <w:b/>
          <w:bCs/>
          <w:color w:val="000000" w:themeColor="text1"/>
          <w:sz w:val="32"/>
          <w:szCs w:val="32"/>
          <w:lang w:eastAsia="zh-CN"/>
          <w14:textFill>
            <w14:solidFill>
              <w14:schemeClr w14:val="tx1"/>
            </w14:solidFill>
          </w14:textFill>
        </w:rPr>
      </w:pPr>
      <w:r>
        <w:rPr>
          <w:rFonts w:hint="eastAsia" w:ascii="仿宋" w:hAnsi="仿宋" w:eastAsia="仿宋"/>
          <w:b/>
          <w:bCs/>
          <w:color w:val="000000" w:themeColor="text1"/>
          <w:sz w:val="32"/>
          <w:szCs w:val="32"/>
          <w:lang w:eastAsia="zh-CN"/>
          <w14:textFill>
            <w14:solidFill>
              <w14:schemeClr w14:val="tx1"/>
            </w14:solidFill>
          </w14:textFill>
        </w:rPr>
        <w:t>八、其他</w:t>
      </w:r>
    </w:p>
    <w:p>
      <w:pPr>
        <w:ind w:firstLine="640" w:firstLineChars="200"/>
        <w:rPr>
          <w:rFonts w:ascii="仿宋" w:hAnsi="仿宋" w:eastAsia="仿宋"/>
          <w:b/>
          <w:bCs/>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lang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投标价</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投标单位投标时请使用统一报价单,格式见</w:t>
      </w:r>
      <w:r>
        <w:rPr>
          <w:rFonts w:hint="eastAsia" w:ascii="仿宋" w:hAnsi="仿宋" w:eastAsia="仿宋"/>
          <w:b/>
          <w:bCs/>
          <w:color w:val="000000" w:themeColor="text1"/>
          <w:sz w:val="32"/>
          <w:szCs w:val="32"/>
          <w14:textFill>
            <w14:solidFill>
              <w14:schemeClr w14:val="tx1"/>
            </w14:solidFill>
          </w14:textFill>
        </w:rPr>
        <w:t>附件</w:t>
      </w:r>
      <w:r>
        <w:rPr>
          <w:rFonts w:hint="eastAsia" w:ascii="仿宋" w:hAnsi="仿宋" w:eastAsia="仿宋"/>
          <w:b/>
          <w:bCs/>
          <w:color w:val="000000" w:themeColor="text1"/>
          <w:sz w:val="32"/>
          <w:szCs w:val="32"/>
          <w:lang w:eastAsia="zh-CN"/>
          <w14:textFill>
            <w14:solidFill>
              <w14:schemeClr w14:val="tx1"/>
            </w14:solidFill>
          </w14:textFill>
        </w:rPr>
        <w:t>1。</w:t>
      </w:r>
    </w:p>
    <w:p>
      <w:pPr>
        <w:ind w:firstLine="640" w:firstLineChars="200"/>
        <w:rPr>
          <w:rFonts w:ascii="仿宋" w:hAnsi="仿宋" w:eastAsia="仿宋"/>
          <w:sz w:val="32"/>
          <w:szCs w:val="32"/>
        </w:rPr>
      </w:pPr>
      <w:r>
        <w:rPr>
          <w:rFonts w:hint="eastAsia" w:ascii="仿宋" w:hAnsi="仿宋" w:eastAsia="仿宋"/>
          <w:color w:val="000000" w:themeColor="text1"/>
          <w:sz w:val="32"/>
          <w:szCs w:val="32"/>
          <w:lang w:eastAsia="zh-CN"/>
          <w14:textFill>
            <w14:solidFill>
              <w14:schemeClr w14:val="tx1"/>
            </w14:solidFill>
          </w14:textFill>
        </w:rPr>
        <w:t>2.</w:t>
      </w:r>
      <w:r>
        <w:rPr>
          <w:rFonts w:hint="eastAsia" w:ascii="仿宋" w:hAnsi="仿宋" w:eastAsia="仿宋"/>
          <w:color w:val="000000" w:themeColor="text1"/>
          <w:sz w:val="32"/>
          <w:szCs w:val="32"/>
          <w14:textFill>
            <w14:solidFill>
              <w14:schemeClr w14:val="tx1"/>
            </w14:solidFill>
          </w14:textFill>
        </w:rPr>
        <w:t>本项目</w:t>
      </w:r>
      <w:r>
        <w:rPr>
          <w:rFonts w:hint="eastAsia" w:ascii="仿宋" w:hAnsi="仿宋" w:eastAsia="仿宋"/>
          <w:color w:val="000000" w:themeColor="text1"/>
          <w:sz w:val="32"/>
          <w:szCs w:val="32"/>
          <w:lang w:eastAsia="zh-CN"/>
          <w14:textFill>
            <w14:solidFill>
              <w14:schemeClr w14:val="tx1"/>
            </w14:solidFill>
          </w14:textFill>
        </w:rPr>
        <w:t>全包式服务，产品运</w:t>
      </w:r>
      <w:r>
        <w:rPr>
          <w:rFonts w:hint="eastAsia" w:ascii="仿宋" w:hAnsi="仿宋" w:eastAsia="仿宋"/>
          <w:sz w:val="32"/>
          <w:szCs w:val="32"/>
          <w:lang w:eastAsia="zh-CN"/>
        </w:rPr>
        <w:t>输过程中及安装过程中产生的费用由供应商负责</w:t>
      </w:r>
      <w:r>
        <w:rPr>
          <w:rFonts w:hint="eastAsia" w:ascii="仿宋" w:hAnsi="仿宋" w:eastAsia="仿宋"/>
          <w:sz w:val="32"/>
          <w:szCs w:val="32"/>
        </w:rPr>
        <w:t>。</w:t>
      </w:r>
    </w:p>
    <w:p>
      <w:pPr>
        <w:pStyle w:val="2"/>
        <w:rPr>
          <w:sz w:val="32"/>
          <w:szCs w:val="32"/>
          <w:lang w:val="en-US"/>
        </w:rPr>
      </w:pPr>
    </w:p>
    <w:p>
      <w:pPr>
        <w:ind w:firstLine="640" w:firstLineChars="200"/>
        <w:rPr>
          <w:rFonts w:ascii="仿宋" w:hAnsi="仿宋" w:eastAsia="仿宋"/>
          <w:sz w:val="32"/>
          <w:szCs w:val="32"/>
          <w:lang w:eastAsia="zh-CN"/>
        </w:rPr>
      </w:pPr>
      <w:bookmarkStart w:id="2" w:name="_Toc501964495"/>
      <w:r>
        <w:rPr>
          <w:rFonts w:hint="eastAsia" w:ascii="仿宋" w:hAnsi="仿宋" w:eastAsia="仿宋"/>
          <w:sz w:val="32"/>
          <w:szCs w:val="32"/>
          <w:lang w:eastAsia="zh-CN"/>
        </w:rPr>
        <w:br w:type="page"/>
      </w:r>
      <w:bookmarkEnd w:id="2"/>
    </w:p>
    <w:p>
      <w:pPr>
        <w:pStyle w:val="2"/>
        <w:sectPr>
          <w:footerReference r:id="rId3" w:type="default"/>
          <w:pgSz w:w="11906" w:h="16838"/>
          <w:pgMar w:top="1440" w:right="1800" w:bottom="1440" w:left="1800" w:header="851" w:footer="992" w:gutter="0"/>
          <w:cols w:space="425" w:num="1"/>
          <w:docGrid w:type="lines" w:linePitch="312" w:charSpace="0"/>
        </w:sectPr>
      </w:pPr>
    </w:p>
    <w:p>
      <w:pPr>
        <w:pStyle w:val="3"/>
        <w:numPr>
          <w:ilvl w:val="1"/>
          <w:numId w:val="0"/>
        </w:numPr>
        <w:spacing w:line="500" w:lineRule="exact"/>
        <w:ind w:left="-720" w:leftChars="-300"/>
        <w:rPr>
          <w:rFonts w:ascii="仿宋" w:hAnsi="仿宋" w:eastAsia="仿宋" w:cs="仿宋"/>
          <w:b/>
          <w:bCs w:val="0"/>
          <w:lang w:val="zh-CN"/>
        </w:rPr>
      </w:pPr>
      <w:r>
        <w:rPr>
          <w:rFonts w:hint="eastAsia" w:ascii="仿宋" w:hAnsi="仿宋" w:eastAsia="仿宋" w:cs="仿宋"/>
        </w:rPr>
        <w:t>附件1：</w:t>
      </w:r>
      <w:r>
        <w:rPr>
          <w:rFonts w:hint="eastAsia" w:ascii="仿宋" w:hAnsi="仿宋" w:eastAsia="仿宋" w:cs="仿宋"/>
          <w:b/>
          <w:bCs w:val="0"/>
          <w:lang w:val="zh-CN"/>
        </w:rPr>
        <w:t>厦门医学院附属口腔医院</w:t>
      </w:r>
      <w:r>
        <w:rPr>
          <w:rFonts w:hint="eastAsia" w:ascii="仿宋" w:hAnsi="仿宋" w:eastAsia="仿宋" w:cs="仿宋"/>
          <w:b/>
          <w:bCs w:val="0"/>
          <w:lang w:val="zh-CN" w:eastAsia="zh-CN"/>
        </w:rPr>
        <w:t>医疗</w:t>
      </w:r>
      <w:r>
        <w:rPr>
          <w:rFonts w:hint="eastAsia" w:ascii="仿宋" w:hAnsi="仿宋" w:eastAsia="仿宋" w:cs="仿宋"/>
          <w:b/>
          <w:bCs w:val="0"/>
          <w:lang w:val="zh-CN"/>
        </w:rPr>
        <w:t>边柜维保服务及零星采购供应</w:t>
      </w:r>
      <w:r>
        <w:rPr>
          <w:rFonts w:hint="eastAsia" w:ascii="仿宋" w:hAnsi="仿宋" w:eastAsia="仿宋" w:cs="仿宋"/>
          <w:b/>
          <w:bCs w:val="0"/>
          <w:lang w:eastAsia="zh-CN"/>
        </w:rPr>
        <w:t>报价单</w:t>
      </w:r>
    </w:p>
    <w:p>
      <w:pPr>
        <w:pStyle w:val="2"/>
        <w:ind w:left="-720" w:leftChars="-300"/>
        <w:rPr>
          <w:rFonts w:ascii="仿宋" w:hAnsi="仿宋" w:eastAsia="仿宋" w:cs="仿宋"/>
          <w:lang w:val="en-US"/>
        </w:rPr>
      </w:pPr>
    </w:p>
    <w:tbl>
      <w:tblPr>
        <w:tblStyle w:val="10"/>
        <w:tblW w:w="14318" w:type="dxa"/>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750"/>
        <w:gridCol w:w="6518"/>
        <w:gridCol w:w="696"/>
        <w:gridCol w:w="1445"/>
        <w:gridCol w:w="524"/>
        <w:gridCol w:w="1494"/>
        <w:gridCol w:w="2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tcPr>
          <w:p>
            <w:pPr>
              <w:tabs>
                <w:tab w:val="left" w:pos="720"/>
              </w:tabs>
              <w:spacing w:line="360" w:lineRule="auto"/>
              <w:ind w:left="-240" w:leftChars="-100"/>
              <w:jc w:val="right"/>
              <w:rPr>
                <w:rFonts w:ascii="仿宋" w:hAnsi="仿宋" w:eastAsia="仿宋" w:cs="仿宋"/>
                <w:b/>
                <w:bCs/>
                <w:lang w:eastAsia="zh-CN"/>
              </w:rPr>
            </w:pPr>
            <w:r>
              <w:rPr>
                <w:rFonts w:hint="eastAsia" w:ascii="仿宋" w:hAnsi="仿宋" w:eastAsia="仿宋" w:cs="仿宋"/>
                <w:b/>
                <w:bCs/>
                <w:lang w:eastAsia="zh-CN"/>
              </w:rPr>
              <w:t>序号</w:t>
            </w:r>
          </w:p>
        </w:tc>
        <w:tc>
          <w:tcPr>
            <w:tcW w:w="750" w:type="dxa"/>
          </w:tcPr>
          <w:p>
            <w:pPr>
              <w:spacing w:line="360" w:lineRule="auto"/>
              <w:jc w:val="left"/>
              <w:rPr>
                <w:rFonts w:ascii="仿宋" w:hAnsi="仿宋" w:eastAsia="仿宋" w:cs="仿宋"/>
                <w:b/>
                <w:bCs/>
              </w:rPr>
            </w:pPr>
            <w:r>
              <w:rPr>
                <w:rFonts w:hint="eastAsia" w:ascii="仿宋" w:hAnsi="仿宋" w:eastAsia="仿宋" w:cs="仿宋"/>
                <w:b/>
                <w:bCs/>
              </w:rPr>
              <w:t>品名</w:t>
            </w:r>
          </w:p>
        </w:tc>
        <w:tc>
          <w:tcPr>
            <w:tcW w:w="6518" w:type="dxa"/>
          </w:tcPr>
          <w:p>
            <w:pPr>
              <w:spacing w:line="360" w:lineRule="auto"/>
              <w:jc w:val="left"/>
              <w:rPr>
                <w:rFonts w:ascii="仿宋" w:hAnsi="仿宋" w:eastAsia="仿宋" w:cs="仿宋"/>
                <w:b/>
                <w:bCs/>
                <w:lang w:eastAsia="zh-CN"/>
              </w:rPr>
            </w:pPr>
            <w:r>
              <w:rPr>
                <w:rFonts w:hint="eastAsia" w:ascii="仿宋" w:hAnsi="仿宋" w:eastAsia="仿宋" w:cs="仿宋"/>
                <w:b/>
                <w:bCs/>
                <w:lang w:val="en-US" w:eastAsia="zh-CN"/>
              </w:rPr>
              <w:t>技术</w:t>
            </w:r>
            <w:r>
              <w:rPr>
                <w:rFonts w:hint="eastAsia" w:ascii="仿宋" w:hAnsi="仿宋" w:eastAsia="仿宋" w:cs="仿宋"/>
                <w:b/>
                <w:bCs/>
                <w:lang w:eastAsia="zh-CN"/>
              </w:rPr>
              <w:t>参数</w:t>
            </w:r>
          </w:p>
        </w:tc>
        <w:tc>
          <w:tcPr>
            <w:tcW w:w="696" w:type="dxa"/>
          </w:tcPr>
          <w:p>
            <w:pPr>
              <w:spacing w:line="360" w:lineRule="auto"/>
              <w:ind w:left="-240" w:leftChars="-100"/>
              <w:jc w:val="center"/>
              <w:rPr>
                <w:rFonts w:ascii="仿宋" w:hAnsi="仿宋" w:eastAsia="仿宋" w:cs="仿宋"/>
                <w:b/>
                <w:bCs/>
                <w:lang w:eastAsia="zh-CN"/>
              </w:rPr>
            </w:pPr>
            <w:r>
              <w:rPr>
                <w:rFonts w:hint="eastAsia" w:ascii="仿宋" w:hAnsi="仿宋" w:eastAsia="仿宋" w:cs="仿宋"/>
                <w:b/>
                <w:bCs/>
                <w:lang w:eastAsia="zh-CN"/>
              </w:rPr>
              <w:t>数量</w:t>
            </w:r>
          </w:p>
        </w:tc>
        <w:tc>
          <w:tcPr>
            <w:tcW w:w="1445" w:type="dxa"/>
          </w:tcPr>
          <w:p>
            <w:pPr>
              <w:spacing w:line="360" w:lineRule="auto"/>
              <w:ind w:left="-240" w:leftChars="-100"/>
              <w:jc w:val="center"/>
              <w:rPr>
                <w:rFonts w:ascii="仿宋" w:hAnsi="仿宋" w:eastAsia="仿宋" w:cs="仿宋"/>
                <w:b/>
                <w:bCs/>
                <w:lang w:eastAsia="zh-CN"/>
              </w:rPr>
            </w:pPr>
            <w:r>
              <w:rPr>
                <w:rFonts w:hint="eastAsia" w:ascii="仿宋" w:hAnsi="仿宋" w:eastAsia="仿宋" w:cs="仿宋"/>
                <w:b/>
                <w:bCs/>
                <w:lang w:eastAsia="zh-CN"/>
              </w:rPr>
              <w:t>招标限价</w:t>
            </w:r>
          </w:p>
        </w:tc>
        <w:tc>
          <w:tcPr>
            <w:tcW w:w="524" w:type="dxa"/>
          </w:tcPr>
          <w:p>
            <w:pPr>
              <w:spacing w:line="360" w:lineRule="auto"/>
              <w:ind w:left="-240" w:leftChars="-100"/>
              <w:jc w:val="center"/>
              <w:rPr>
                <w:rFonts w:ascii="仿宋" w:hAnsi="仿宋" w:eastAsia="仿宋" w:cs="仿宋"/>
                <w:b/>
                <w:bCs/>
                <w:lang w:eastAsia="zh-CN"/>
              </w:rPr>
            </w:pPr>
            <w:r>
              <w:rPr>
                <w:rFonts w:hint="eastAsia" w:ascii="仿宋" w:hAnsi="仿宋" w:eastAsia="仿宋" w:cs="仿宋"/>
                <w:b/>
                <w:bCs/>
                <w:lang w:eastAsia="zh-CN"/>
              </w:rPr>
              <w:t>单位</w:t>
            </w:r>
          </w:p>
        </w:tc>
        <w:tc>
          <w:tcPr>
            <w:tcW w:w="1494" w:type="dxa"/>
          </w:tcPr>
          <w:p>
            <w:pPr>
              <w:spacing w:line="360" w:lineRule="auto"/>
              <w:ind w:hanging="3"/>
              <w:jc w:val="center"/>
              <w:rPr>
                <w:rFonts w:ascii="仿宋" w:hAnsi="仿宋" w:eastAsia="仿宋" w:cs="仿宋"/>
                <w:b/>
                <w:bCs/>
                <w:lang w:eastAsia="zh-CN"/>
              </w:rPr>
            </w:pPr>
            <w:r>
              <w:rPr>
                <w:rFonts w:hint="eastAsia" w:ascii="仿宋" w:hAnsi="仿宋" w:eastAsia="仿宋" w:cs="仿宋"/>
                <w:b/>
                <w:bCs/>
                <w:lang w:eastAsia="zh-CN"/>
              </w:rPr>
              <w:t>供应商报价单价（含税）</w:t>
            </w:r>
          </w:p>
        </w:tc>
        <w:tc>
          <w:tcPr>
            <w:tcW w:w="2291" w:type="dxa"/>
          </w:tcPr>
          <w:p>
            <w:pPr>
              <w:spacing w:line="360" w:lineRule="auto"/>
              <w:jc w:val="center"/>
              <w:rPr>
                <w:rFonts w:ascii="仿宋" w:hAnsi="仿宋" w:eastAsia="仿宋" w:cs="仿宋"/>
                <w:b/>
                <w:bCs/>
                <w:lang w:eastAsia="zh-CN"/>
              </w:rPr>
            </w:pPr>
            <w:r>
              <w:rPr>
                <w:rFonts w:hint="eastAsia" w:ascii="仿宋" w:hAnsi="仿宋" w:eastAsia="仿宋" w:cs="仿宋"/>
                <w:b/>
                <w:bCs/>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0" w:hRule="atLeast"/>
        </w:trPr>
        <w:tc>
          <w:tcPr>
            <w:tcW w:w="600" w:type="dxa"/>
          </w:tcPr>
          <w:p>
            <w:pPr>
              <w:tabs>
                <w:tab w:val="left" w:pos="720"/>
              </w:tabs>
              <w:spacing w:line="360" w:lineRule="auto"/>
              <w:ind w:left="-240" w:leftChars="-100"/>
              <w:jc w:val="righ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1</w:t>
            </w:r>
          </w:p>
        </w:tc>
        <w:tc>
          <w:tcPr>
            <w:tcW w:w="750" w:type="dxa"/>
          </w:tcPr>
          <w:p>
            <w:pPr>
              <w:spacing w:line="360" w:lineRule="auto"/>
              <w:jc w:val="lef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医用边柜</w:t>
            </w:r>
          </w:p>
        </w:tc>
        <w:tc>
          <w:tcPr>
            <w:tcW w:w="6518" w:type="dxa"/>
          </w:tcPr>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1.</w:t>
            </w:r>
            <w:r>
              <w:rPr>
                <w:rFonts w:hint="eastAsia" w:ascii="仿宋" w:hAnsi="仿宋" w:eastAsia="仿宋" w:cs="仿宋"/>
                <w:color w:val="000000" w:themeColor="text1"/>
                <w:sz w:val="21"/>
                <w:szCs w:val="21"/>
                <w14:textFill>
                  <w14:solidFill>
                    <w14:schemeClr w14:val="tx1"/>
                  </w14:solidFill>
                </w14:textFill>
              </w:rPr>
              <w:t>柜体：</w:t>
            </w:r>
          </w:p>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边柜采用双层</w:t>
            </w:r>
            <w:r>
              <w:rPr>
                <w:rFonts w:hint="eastAsia" w:ascii="仿宋" w:hAnsi="仿宋" w:eastAsia="仿宋" w:cs="仿宋"/>
                <w:b/>
                <w:bCs/>
                <w:color w:val="000000" w:themeColor="text1"/>
                <w:sz w:val="21"/>
                <w:szCs w:val="21"/>
                <w14:textFill>
                  <w14:solidFill>
                    <w14:schemeClr w14:val="tx1"/>
                  </w14:solidFill>
                </w14:textFill>
              </w:rPr>
              <w:t>镀锌钢板材质</w:t>
            </w:r>
            <w:r>
              <w:rPr>
                <w:rFonts w:hint="eastAsia" w:ascii="仿宋" w:hAnsi="仿宋" w:eastAsia="仿宋" w:cs="仿宋"/>
                <w:color w:val="000000" w:themeColor="text1"/>
                <w:sz w:val="21"/>
                <w:szCs w:val="21"/>
                <w14:textFill>
                  <w14:solidFill>
                    <w14:schemeClr w14:val="tx1"/>
                  </w14:solidFill>
                </w14:textFill>
              </w:rPr>
              <w:t>，主体框架另加承重方管及内衬加强条结构钢板，单层厚度不小于1.0mm。柜体内外面板采用先进环氧树脂喷塑涂层工艺覆盖，通过高温烘烤防锈处理，具有无毒、无味、环保和防锈功能。产品坚硬稳定、经久耐用。柜体总</w:t>
            </w:r>
            <w:r>
              <w:rPr>
                <w:rFonts w:hint="eastAsia" w:ascii="仿宋" w:hAnsi="仿宋" w:eastAsia="仿宋" w:cs="仿宋"/>
                <w:color w:val="000000" w:themeColor="text1"/>
                <w:sz w:val="21"/>
                <w:szCs w:val="21"/>
                <w:lang w:val="en-US" w:eastAsia="zh-CN"/>
                <w14:textFill>
                  <w14:solidFill>
                    <w14:schemeClr w14:val="tx1"/>
                  </w14:solidFill>
                </w14:textFill>
              </w:rPr>
              <w:t>高</w:t>
            </w:r>
            <w:r>
              <w:rPr>
                <w:rFonts w:hint="eastAsia" w:ascii="仿宋" w:hAnsi="仿宋" w:eastAsia="仿宋" w:cs="仿宋"/>
                <w:color w:val="000000" w:themeColor="text1"/>
                <w:sz w:val="21"/>
                <w:szCs w:val="21"/>
                <w14:textFill>
                  <w14:solidFill>
                    <w14:schemeClr w14:val="tx1"/>
                  </w14:solidFill>
                </w14:textFill>
              </w:rPr>
              <w:t>度不小于8</w:t>
            </w:r>
            <w:r>
              <w:rPr>
                <w:rFonts w:hint="eastAsia" w:ascii="仿宋" w:hAnsi="仿宋" w:eastAsia="仿宋" w:cs="仿宋"/>
                <w:color w:val="000000" w:themeColor="text1"/>
                <w:sz w:val="21"/>
                <w:szCs w:val="21"/>
                <w:lang w:val="en-US" w:eastAsia="zh-CN"/>
                <w14:textFill>
                  <w14:solidFill>
                    <w14:schemeClr w14:val="tx1"/>
                  </w14:solidFill>
                </w14:textFill>
              </w:rPr>
              <w:t>2</w:t>
            </w:r>
            <w:r>
              <w:rPr>
                <w:rFonts w:hint="eastAsia" w:ascii="仿宋" w:hAnsi="仿宋" w:eastAsia="仿宋" w:cs="仿宋"/>
                <w:color w:val="000000" w:themeColor="text1"/>
                <w:sz w:val="21"/>
                <w:szCs w:val="21"/>
                <w14:textFill>
                  <w14:solidFill>
                    <w14:schemeClr w14:val="tx1"/>
                  </w14:solidFill>
                </w14:textFill>
              </w:rPr>
              <w:t>0mm。长度适应现场尺寸设计。</w:t>
            </w:r>
          </w:p>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2.</w:t>
            </w:r>
            <w:r>
              <w:rPr>
                <w:rFonts w:hint="eastAsia" w:ascii="仿宋" w:hAnsi="仿宋" w:eastAsia="仿宋" w:cs="仿宋"/>
                <w:color w:val="000000" w:themeColor="text1"/>
                <w:sz w:val="21"/>
                <w:szCs w:val="21"/>
                <w14:textFill>
                  <w14:solidFill>
                    <w14:schemeClr w14:val="tx1"/>
                  </w14:solidFill>
                </w14:textFill>
              </w:rPr>
              <w:t>台面</w:t>
            </w:r>
          </w:p>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选择1）采用优质模具浇注一体成型人造石台面，台面设计有40mm后挡水和洗手溅出防污染沉降区。台面背面采用加筋设计，确保台面不变型。厚度不低于30mm，洗手盆规格不小于4</w:t>
            </w:r>
            <w:r>
              <w:rPr>
                <w:rFonts w:ascii="仿宋" w:hAnsi="仿宋" w:eastAsia="仿宋" w:cs="仿宋"/>
                <w:color w:val="000000" w:themeColor="text1"/>
                <w:sz w:val="21"/>
                <w:szCs w:val="21"/>
                <w14:textFill>
                  <w14:solidFill>
                    <w14:schemeClr w14:val="tx1"/>
                  </w14:solidFill>
                </w14:textFill>
              </w:rPr>
              <w:t>1</w:t>
            </w:r>
            <w:r>
              <w:rPr>
                <w:rFonts w:hint="eastAsia" w:ascii="仿宋" w:hAnsi="仿宋" w:eastAsia="仿宋" w:cs="仿宋"/>
                <w:color w:val="000000" w:themeColor="text1"/>
                <w:sz w:val="21"/>
                <w:szCs w:val="21"/>
                <w14:textFill>
                  <w14:solidFill>
                    <w14:schemeClr w14:val="tx1"/>
                  </w14:solidFill>
                </w14:textFill>
              </w:rPr>
              <w:t>0mm*300mm*220mm，洗手盆区域不小于</w:t>
            </w:r>
            <w:r>
              <w:rPr>
                <w:rFonts w:ascii="仿宋" w:hAnsi="仿宋" w:eastAsia="仿宋" w:cs="仿宋"/>
                <w:color w:val="000000" w:themeColor="text1"/>
                <w:sz w:val="21"/>
                <w:szCs w:val="21"/>
                <w14:textFill>
                  <w14:solidFill>
                    <w14:schemeClr w14:val="tx1"/>
                  </w14:solidFill>
                </w14:textFill>
              </w:rPr>
              <w:t>64</w:t>
            </w:r>
            <w:r>
              <w:rPr>
                <w:rFonts w:hint="eastAsia" w:ascii="仿宋" w:hAnsi="仿宋" w:eastAsia="仿宋" w:cs="仿宋"/>
                <w:color w:val="000000" w:themeColor="text1"/>
                <w:sz w:val="21"/>
                <w:szCs w:val="21"/>
                <w14:textFill>
                  <w14:solidFill>
                    <w14:schemeClr w14:val="tx1"/>
                  </w14:solidFill>
                </w14:textFill>
              </w:rPr>
              <w:t>0mm*</w:t>
            </w:r>
            <w:r>
              <w:rPr>
                <w:rFonts w:ascii="仿宋" w:hAnsi="仿宋" w:eastAsia="仿宋" w:cs="仿宋"/>
                <w:color w:val="000000" w:themeColor="text1"/>
                <w:sz w:val="21"/>
                <w:szCs w:val="21"/>
                <w14:textFill>
                  <w14:solidFill>
                    <w14:schemeClr w14:val="tx1"/>
                  </w14:solidFill>
                </w14:textFill>
              </w:rPr>
              <w:t>46</w:t>
            </w:r>
            <w:r>
              <w:rPr>
                <w:rFonts w:hint="eastAsia" w:ascii="仿宋" w:hAnsi="仿宋" w:eastAsia="仿宋" w:cs="仿宋"/>
                <w:color w:val="000000" w:themeColor="text1"/>
                <w:sz w:val="21"/>
                <w:szCs w:val="21"/>
                <w14:textFill>
                  <w14:solidFill>
                    <w14:schemeClr w14:val="tx1"/>
                  </w14:solidFill>
                </w14:textFill>
              </w:rPr>
              <w:t>0mm范围内设计为感控沉降区，防止洗手水溅出后外流污染台面。台面采用进口仿陶瓷特殊材料涂层后，经过烤窑烘烤使表面洁净、平滑、高密度抗耐磨，防污渍、不易划伤，台面耐酸碱和碘酒的浸泡，不粘色、易清洁、消毒，台面永久不变色等优点。</w:t>
            </w:r>
          </w:p>
          <w:p>
            <w:pPr>
              <w:jc w:val="left"/>
              <w:rPr>
                <w:rFonts w:ascii="仿宋" w:hAnsi="仿宋" w:eastAsia="仿宋" w:cs="仿宋"/>
                <w:color w:val="000000" w:themeColor="text1"/>
                <w:sz w:val="21"/>
                <w:szCs w:val="21"/>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选择2）采用人造大理石微晶石台面，厚度18mm，表面光洁、高密度纳米级台面。台面表面洁净平滑、高密度抗耐磨、防污渍、耐腐、不易划伤。台面耐酸碱和碘酒浸泡，不粘色、易清洁、不染色、不渗透着色和耐消毒液擦洗，台面永久不变色，配置</w:t>
            </w:r>
            <w:r>
              <w:rPr>
                <w:rFonts w:hint="eastAsia" w:ascii="仿宋" w:hAnsi="仿宋" w:eastAsia="仿宋" w:cs="仿宋"/>
                <w:color w:val="000000" w:themeColor="text1"/>
                <w:sz w:val="21"/>
                <w:szCs w:val="21"/>
                <w:lang w:eastAsia="zh-CN"/>
                <w14:textFill>
                  <w14:solidFill>
                    <w14:schemeClr w14:val="tx1"/>
                  </w14:solidFill>
                </w14:textFill>
              </w:rPr>
              <w:t>3</w:t>
            </w:r>
            <w:r>
              <w:rPr>
                <w:rFonts w:ascii="仿宋" w:hAnsi="仿宋" w:eastAsia="仿宋" w:cs="仿宋"/>
                <w:color w:val="000000" w:themeColor="text1"/>
                <w:sz w:val="21"/>
                <w:szCs w:val="21"/>
                <w:lang w:eastAsia="zh-CN"/>
                <w14:textFill>
                  <w14:solidFill>
                    <w14:schemeClr w14:val="tx1"/>
                  </w14:solidFill>
                </w14:textFill>
              </w:rPr>
              <w:t>04</w:t>
            </w:r>
            <w:r>
              <w:rPr>
                <w:rFonts w:hint="eastAsia" w:ascii="仿宋" w:hAnsi="仿宋" w:eastAsia="仿宋" w:cs="仿宋"/>
                <w:color w:val="000000" w:themeColor="text1"/>
                <w:sz w:val="21"/>
                <w:szCs w:val="21"/>
                <w14:textFill>
                  <w14:solidFill>
                    <w14:schemeClr w14:val="tx1"/>
                  </w14:solidFill>
                </w14:textFill>
              </w:rPr>
              <w:t>不锈钢下挂式洗手盆。规格不小于420mm*380mm*180mm（可根据需求定制）。</w:t>
            </w:r>
          </w:p>
        </w:tc>
        <w:tc>
          <w:tcPr>
            <w:tcW w:w="696"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4</w:t>
            </w:r>
          </w:p>
        </w:tc>
        <w:tc>
          <w:tcPr>
            <w:tcW w:w="1445" w:type="dxa"/>
            <w:vAlign w:val="center"/>
          </w:tcPr>
          <w:p>
            <w:pPr>
              <w:pStyle w:val="14"/>
              <w:ind w:left="-240" w:leftChars="-10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3780元/米</w:t>
            </w:r>
          </w:p>
        </w:tc>
        <w:tc>
          <w:tcPr>
            <w:tcW w:w="524" w:type="dxa"/>
            <w:vAlign w:val="center"/>
          </w:tcPr>
          <w:p>
            <w:pPr>
              <w:pStyle w:val="14"/>
              <w:ind w:left="-240" w:leftChars="-10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米</w:t>
            </w:r>
          </w:p>
        </w:tc>
        <w:tc>
          <w:tcPr>
            <w:tcW w:w="1494" w:type="dxa"/>
            <w:vAlign w:val="center"/>
          </w:tcPr>
          <w:p>
            <w:pPr>
              <w:pStyle w:val="14"/>
              <w:ind w:hanging="3"/>
              <w:jc w:val="center"/>
              <w:rPr>
                <w:color w:val="000000" w:themeColor="text1"/>
                <w14:textFill>
                  <w14:solidFill>
                    <w14:schemeClr w14:val="tx1"/>
                  </w14:solidFill>
                </w14:textFill>
              </w:rPr>
            </w:pPr>
          </w:p>
        </w:tc>
        <w:tc>
          <w:tcPr>
            <w:tcW w:w="2291" w:type="dxa"/>
          </w:tcPr>
          <w:p>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drawing>
                <wp:inline distT="0" distB="0" distL="114300" distR="114300">
                  <wp:extent cx="1377950" cy="984250"/>
                  <wp:effectExtent l="0" t="0" r="12700" b="6350"/>
                  <wp:docPr id="2" name="图片 1" descr="微信图片_2018041718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微信图片_20180417181311"/>
                          <pic:cNvPicPr>
                            <a:picLocks noChangeAspect="1"/>
                          </pic:cNvPicPr>
                        </pic:nvPicPr>
                        <pic:blipFill>
                          <a:blip r:embed="rId5" cstate="print"/>
                          <a:stretch>
                            <a:fillRect/>
                          </a:stretch>
                        </pic:blipFill>
                        <pic:spPr>
                          <a:xfrm>
                            <a:off x="0" y="0"/>
                            <a:ext cx="1377950" cy="98425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600" w:type="dxa"/>
          </w:tcPr>
          <w:p>
            <w:pPr>
              <w:tabs>
                <w:tab w:val="left" w:pos="720"/>
              </w:tabs>
              <w:spacing w:line="360" w:lineRule="auto"/>
              <w:ind w:left="-240" w:leftChars="-100"/>
              <w:jc w:val="righ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w:t>
            </w:r>
          </w:p>
        </w:tc>
        <w:tc>
          <w:tcPr>
            <w:tcW w:w="750" w:type="dxa"/>
          </w:tcPr>
          <w:p>
            <w:pPr>
              <w:spacing w:line="360" w:lineRule="auto"/>
              <w:jc w:val="lef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功能室边柜</w:t>
            </w:r>
          </w:p>
        </w:tc>
        <w:tc>
          <w:tcPr>
            <w:tcW w:w="6518" w:type="dxa"/>
          </w:tcPr>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柜体采用</w:t>
            </w:r>
            <w:r>
              <w:rPr>
                <w:rFonts w:hint="eastAsia" w:ascii="仿宋" w:hAnsi="仿宋" w:eastAsia="仿宋" w:cs="仿宋"/>
                <w:b/>
                <w:bCs/>
                <w:color w:val="000000" w:themeColor="text1"/>
                <w:sz w:val="21"/>
                <w:szCs w:val="21"/>
                <w14:textFill>
                  <w14:solidFill>
                    <w14:schemeClr w14:val="tx1"/>
                  </w14:solidFill>
                </w14:textFill>
              </w:rPr>
              <w:t>304医用不锈钢板材</w:t>
            </w:r>
            <w:r>
              <w:rPr>
                <w:rFonts w:hint="eastAsia" w:ascii="仿宋" w:hAnsi="仿宋" w:eastAsia="仿宋" w:cs="仿宋"/>
                <w:color w:val="000000" w:themeColor="text1"/>
                <w:sz w:val="21"/>
                <w:szCs w:val="21"/>
                <w14:textFill>
                  <w14:solidFill>
                    <w14:schemeClr w14:val="tx1"/>
                  </w14:solidFill>
                </w14:textFill>
              </w:rPr>
              <w:t>，板材厚度不小于1.0mm，宽度为600-650mm，柜体高度不小于800mm。柜体结构由单门柜、多抽屉柜组成。柜门抽屉面板为双层设计，柜门配置静音阻尼防滑落铰链，关闭闭合时带缓冲功能装置而且静音抽屉配置内藏式三节自吸承重滑轨、抽屉面配置拉手、抽屉配置可自换连杆锁，当锁芯损坏时更换锁芯是免工具免拆柜体，可以采用配置公锁匙轻松更换锁芯，配置锁匙为折弯防撞断锁匙。                                                                台面要求：</w:t>
            </w:r>
          </w:p>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采用304医用不锈钢板材。不锈钢台面分为双层中间夹层采用防腐混合板材厚度为30mm设计。台面尺寸标准：***（根据客户需求定制）×600mm~650mm。台面表面前部具有止水功能。</w:t>
            </w:r>
          </w:p>
        </w:tc>
        <w:tc>
          <w:tcPr>
            <w:tcW w:w="696"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3</w:t>
            </w:r>
          </w:p>
        </w:tc>
        <w:tc>
          <w:tcPr>
            <w:tcW w:w="1445"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6500</w:t>
            </w:r>
            <w:r>
              <w:rPr>
                <w:rFonts w:hint="eastAsia"/>
                <w:color w:val="000000" w:themeColor="text1"/>
                <w14:textFill>
                  <w14:solidFill>
                    <w14:schemeClr w14:val="tx1"/>
                  </w14:solidFill>
                </w14:textFill>
              </w:rPr>
              <w:t>元/米</w:t>
            </w:r>
          </w:p>
        </w:tc>
        <w:tc>
          <w:tcPr>
            <w:tcW w:w="524"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米</w:t>
            </w:r>
          </w:p>
        </w:tc>
        <w:tc>
          <w:tcPr>
            <w:tcW w:w="1494" w:type="dxa"/>
            <w:vAlign w:val="center"/>
          </w:tcPr>
          <w:p>
            <w:pPr>
              <w:spacing w:line="360" w:lineRule="auto"/>
              <w:ind w:hanging="3"/>
              <w:jc w:val="center"/>
              <w:rPr>
                <w:rFonts w:ascii="仿宋" w:hAnsi="仿宋" w:eastAsia="仿宋" w:cs="仿宋"/>
                <w:color w:val="000000" w:themeColor="text1"/>
                <w:lang w:eastAsia="zh-CN"/>
                <w14:textFill>
                  <w14:solidFill>
                    <w14:schemeClr w14:val="tx1"/>
                  </w14:solidFill>
                </w14:textFill>
              </w:rPr>
            </w:pPr>
          </w:p>
        </w:tc>
        <w:tc>
          <w:tcPr>
            <w:tcW w:w="2291" w:type="dxa"/>
          </w:tcPr>
          <w:p>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drawing>
                <wp:inline distT="0" distB="0" distL="114300" distR="114300">
                  <wp:extent cx="1369060" cy="1029970"/>
                  <wp:effectExtent l="0" t="0" r="2540" b="17780"/>
                  <wp:docPr id="3" name="图片 2" descr="微信图片_20180417181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1804171813111"/>
                          <pic:cNvPicPr>
                            <a:picLocks noChangeAspect="1"/>
                          </pic:cNvPicPr>
                        </pic:nvPicPr>
                        <pic:blipFill>
                          <a:blip r:embed="rId6" cstate="print"/>
                          <a:stretch>
                            <a:fillRect/>
                          </a:stretch>
                        </pic:blipFill>
                        <pic:spPr>
                          <a:xfrm>
                            <a:off x="0" y="0"/>
                            <a:ext cx="1369060" cy="10299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600" w:type="dxa"/>
          </w:tcPr>
          <w:p>
            <w:pPr>
              <w:tabs>
                <w:tab w:val="left" w:pos="720"/>
              </w:tabs>
              <w:spacing w:line="360" w:lineRule="auto"/>
              <w:ind w:left="-240" w:leftChars="-100"/>
              <w:jc w:val="righ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3</w:t>
            </w:r>
          </w:p>
        </w:tc>
        <w:tc>
          <w:tcPr>
            <w:tcW w:w="750" w:type="dxa"/>
          </w:tcPr>
          <w:p>
            <w:pPr>
              <w:spacing w:line="360" w:lineRule="auto"/>
              <w:jc w:val="lef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医用护士边柜</w:t>
            </w:r>
          </w:p>
        </w:tc>
        <w:tc>
          <w:tcPr>
            <w:tcW w:w="6518" w:type="dxa"/>
          </w:tcPr>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1、柜体：</w:t>
            </w:r>
          </w:p>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边柜采用双层</w:t>
            </w:r>
            <w:r>
              <w:rPr>
                <w:rFonts w:hint="eastAsia" w:ascii="仿宋" w:hAnsi="仿宋" w:eastAsia="仿宋" w:cs="仿宋"/>
                <w:b/>
                <w:bCs/>
                <w:color w:val="000000" w:themeColor="text1"/>
                <w:sz w:val="21"/>
                <w:szCs w:val="21"/>
                <w14:textFill>
                  <w14:solidFill>
                    <w14:schemeClr w14:val="tx1"/>
                  </w14:solidFill>
                </w14:textFill>
              </w:rPr>
              <w:t>镀锌钢板材质</w:t>
            </w:r>
            <w:r>
              <w:rPr>
                <w:rFonts w:hint="eastAsia" w:ascii="仿宋" w:hAnsi="仿宋" w:eastAsia="仿宋" w:cs="仿宋"/>
                <w:color w:val="000000" w:themeColor="text1"/>
                <w:sz w:val="21"/>
                <w:szCs w:val="21"/>
                <w14:textFill>
                  <w14:solidFill>
                    <w14:schemeClr w14:val="tx1"/>
                  </w14:solidFill>
                </w14:textFill>
              </w:rPr>
              <w:t>，主体框架另加承重方管及内衬加强条结构钢板，单层厚度不小于1.0mm。柜体内外面板采用国际先进环氧树脂喷塑涂层工艺覆盖，通过高温烘烤防锈处理，具有无毒、无味、环保和防锈功能。产品坚硬稳定、经久耐用。柜体总</w:t>
            </w:r>
            <w:r>
              <w:rPr>
                <w:rFonts w:hint="eastAsia" w:ascii="仿宋" w:hAnsi="仿宋" w:eastAsia="仿宋" w:cs="仿宋"/>
                <w:color w:val="000000" w:themeColor="text1"/>
                <w:sz w:val="21"/>
                <w:szCs w:val="21"/>
                <w:lang w:val="en-US" w:eastAsia="zh-CN"/>
                <w14:textFill>
                  <w14:solidFill>
                    <w14:schemeClr w14:val="tx1"/>
                  </w14:solidFill>
                </w14:textFill>
              </w:rPr>
              <w:t>高</w:t>
            </w:r>
            <w:r>
              <w:rPr>
                <w:rFonts w:hint="eastAsia" w:ascii="仿宋" w:hAnsi="仿宋" w:eastAsia="仿宋" w:cs="仿宋"/>
                <w:color w:val="000000" w:themeColor="text1"/>
                <w:sz w:val="21"/>
                <w:szCs w:val="21"/>
                <w14:textFill>
                  <w14:solidFill>
                    <w14:schemeClr w14:val="tx1"/>
                  </w14:solidFill>
                </w14:textFill>
              </w:rPr>
              <w:t>度不小于8</w:t>
            </w:r>
            <w:r>
              <w:rPr>
                <w:rFonts w:hint="eastAsia" w:ascii="仿宋" w:hAnsi="仿宋" w:eastAsia="仿宋" w:cs="仿宋"/>
                <w:color w:val="000000" w:themeColor="text1"/>
                <w:sz w:val="21"/>
                <w:szCs w:val="21"/>
                <w:lang w:val="en-US" w:eastAsia="zh-CN"/>
                <w14:textFill>
                  <w14:solidFill>
                    <w14:schemeClr w14:val="tx1"/>
                  </w14:solidFill>
                </w14:textFill>
              </w:rPr>
              <w:t>2</w:t>
            </w:r>
            <w:r>
              <w:rPr>
                <w:rFonts w:hint="eastAsia" w:ascii="仿宋" w:hAnsi="仿宋" w:eastAsia="仿宋" w:cs="仿宋"/>
                <w:color w:val="000000" w:themeColor="text1"/>
                <w:sz w:val="21"/>
                <w:szCs w:val="21"/>
                <w14:textFill>
                  <w14:solidFill>
                    <w14:schemeClr w14:val="tx1"/>
                  </w14:solidFill>
                </w14:textFill>
              </w:rPr>
              <w:t xml:space="preserve">0mm。长度适应现场尺寸设计。                                                                                                     </w:t>
            </w:r>
          </w:p>
          <w:p>
            <w:pPr>
              <w:numPr>
                <w:ilvl w:val="0"/>
                <w:numId w:val="2"/>
              </w:num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台面选择</w:t>
            </w:r>
          </w:p>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选择</w:t>
            </w:r>
            <w:r>
              <w:rPr>
                <w:rFonts w:hint="eastAsia" w:ascii="仿宋" w:hAnsi="仿宋" w:eastAsia="仿宋" w:cs="仿宋"/>
                <w:color w:val="000000" w:themeColor="text1"/>
                <w:sz w:val="21"/>
                <w:szCs w:val="21"/>
                <w14:textFill>
                  <w14:solidFill>
                    <w14:schemeClr w14:val="tx1"/>
                  </w14:solidFill>
                </w14:textFill>
              </w:rPr>
              <w:t>1）采用优质模具浇注一体成型人造石台面，台面设计有40mm后挡水。台面背面采用加筋设计，确保台面不变型。厚度不低于30mm，台面采用进口仿陶瓷特殊材料涂层后，经过烤窑烘烤使表面洁净、平滑、高密度抗耐磨，防污渍、不易划伤，台面耐酸碱和碘酒的浸泡，不粘色、易清洁、消毒，台面永久不变色等优点。</w:t>
            </w:r>
          </w:p>
          <w:p>
            <w:pPr>
              <w:jc w:val="left"/>
              <w:rPr>
                <w:rFonts w:ascii="仿宋" w:hAnsi="仿宋" w:eastAsia="仿宋" w:cs="仿宋"/>
                <w:color w:val="000000" w:themeColor="text1"/>
                <w:sz w:val="21"/>
                <w:szCs w:val="21"/>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选择2）采用人造大理石微晶石台面，厚度18mm，表面光洁、高密度纳米级台面。台面表面洁净平滑、高密度抗耐磨、防污渍、耐腐、不易划伤。台面耐酸碱和碘酒浸泡，不粘色、易清洁、不染色、不渗透着色和耐消毒液擦洗，台面永久不变色</w:t>
            </w:r>
            <w:r>
              <w:rPr>
                <w:rFonts w:hint="eastAsia" w:ascii="仿宋" w:hAnsi="仿宋" w:eastAsia="仿宋" w:cs="仿宋"/>
                <w:color w:val="000000" w:themeColor="text1"/>
                <w:sz w:val="21"/>
                <w:szCs w:val="21"/>
                <w:lang w:eastAsia="zh-CN"/>
                <w14:textFill>
                  <w14:solidFill>
                    <w14:schemeClr w14:val="tx1"/>
                  </w14:solidFill>
                </w14:textFill>
              </w:rPr>
              <w:t>。</w:t>
            </w:r>
          </w:p>
          <w:p>
            <w:pPr>
              <w:numPr>
                <w:ilvl w:val="0"/>
                <w:numId w:val="2"/>
              </w:num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标配冷热水龙头</w:t>
            </w:r>
          </w:p>
          <w:p>
            <w:pPr>
              <w:jc w:val="both"/>
              <w:rPr>
                <w:color w:val="000000" w:themeColor="text1"/>
                <w:lang w:eastAsia="zh-CN"/>
                <w14:textFill>
                  <w14:solidFill>
                    <w14:schemeClr w14:val="tx1"/>
                  </w14:solidFill>
                </w14:textFill>
              </w:rPr>
            </w:pPr>
          </w:p>
        </w:tc>
        <w:tc>
          <w:tcPr>
            <w:tcW w:w="696"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4</w:t>
            </w:r>
          </w:p>
        </w:tc>
        <w:tc>
          <w:tcPr>
            <w:tcW w:w="1445"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3780元/米</w:t>
            </w:r>
          </w:p>
        </w:tc>
        <w:tc>
          <w:tcPr>
            <w:tcW w:w="524"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米</w:t>
            </w:r>
          </w:p>
        </w:tc>
        <w:tc>
          <w:tcPr>
            <w:tcW w:w="1494" w:type="dxa"/>
            <w:vAlign w:val="center"/>
          </w:tcPr>
          <w:p>
            <w:pPr>
              <w:spacing w:line="360" w:lineRule="auto"/>
              <w:ind w:hanging="3"/>
              <w:jc w:val="center"/>
              <w:rPr>
                <w:rFonts w:ascii="仿宋" w:hAnsi="仿宋" w:eastAsia="仿宋" w:cs="仿宋"/>
                <w:color w:val="000000" w:themeColor="text1"/>
                <w:lang w:eastAsia="zh-CN"/>
                <w14:textFill>
                  <w14:solidFill>
                    <w14:schemeClr w14:val="tx1"/>
                  </w14:solidFill>
                </w14:textFill>
              </w:rPr>
            </w:pPr>
          </w:p>
        </w:tc>
        <w:tc>
          <w:tcPr>
            <w:tcW w:w="2291" w:type="dxa"/>
          </w:tcPr>
          <w:p>
            <w:pPr>
              <w:spacing w:line="360" w:lineRule="auto"/>
              <w:jc w:val="center"/>
              <w:rPr>
                <w:rFonts w:ascii="仿宋" w:hAnsi="仿宋" w:eastAsia="仿宋" w:cs="仿宋"/>
                <w:color w:val="000000" w:themeColor="text1"/>
                <w14:textFill>
                  <w14:solidFill>
                    <w14:schemeClr w14:val="tx1"/>
                  </w14:solidFill>
                </w14:textFill>
              </w:rPr>
            </w:pPr>
            <w:r>
              <w:rPr>
                <w:rFonts w:ascii="仿宋" w:hAnsi="仿宋" w:eastAsia="仿宋" w:cs="仿宋"/>
                <w:color w:val="000000" w:themeColor="text1"/>
                <w:lang w:eastAsia="zh-CN"/>
                <w14:textFill>
                  <w14:solidFill>
                    <w14:schemeClr w14:val="tx1"/>
                  </w14:solidFill>
                </w14:textFill>
              </w:rPr>
              <w:drawing>
                <wp:inline distT="0" distB="0" distL="0" distR="0">
                  <wp:extent cx="1612265" cy="1209040"/>
                  <wp:effectExtent l="19050" t="0" r="6985" b="0"/>
                  <wp:docPr id="1" name="图片 0" descr="5eb79abea0799d33c10b613bd186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5eb79abea0799d33c10b613bd186129.jpg"/>
                          <pic:cNvPicPr>
                            <a:picLocks noChangeAspect="1"/>
                          </pic:cNvPicPr>
                        </pic:nvPicPr>
                        <pic:blipFill>
                          <a:blip r:embed="rId7" cstate="print"/>
                          <a:stretch>
                            <a:fillRect/>
                          </a:stretch>
                        </pic:blipFill>
                        <pic:spPr>
                          <a:xfrm>
                            <a:off x="0" y="0"/>
                            <a:ext cx="1612265" cy="120904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600" w:type="dxa"/>
          </w:tcPr>
          <w:p>
            <w:pPr>
              <w:tabs>
                <w:tab w:val="left" w:pos="720"/>
              </w:tabs>
              <w:spacing w:line="360" w:lineRule="auto"/>
              <w:ind w:left="-240" w:leftChars="-100"/>
              <w:jc w:val="righ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4</w:t>
            </w:r>
          </w:p>
        </w:tc>
        <w:tc>
          <w:tcPr>
            <w:tcW w:w="750" w:type="dxa"/>
          </w:tcPr>
          <w:p>
            <w:pPr>
              <w:spacing w:line="360" w:lineRule="auto"/>
              <w:jc w:val="lef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移动柜</w:t>
            </w:r>
          </w:p>
        </w:tc>
        <w:tc>
          <w:tcPr>
            <w:tcW w:w="6518" w:type="dxa"/>
          </w:tcPr>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b w:val="0"/>
                <w:bCs w:val="0"/>
                <w:color w:val="000000" w:themeColor="text1"/>
                <w:sz w:val="21"/>
                <w:szCs w:val="21"/>
                <w:lang w:eastAsia="zh-CN"/>
                <w14:textFill>
                  <w14:solidFill>
                    <w14:schemeClr w14:val="tx1"/>
                  </w14:solidFill>
                </w14:textFill>
              </w:rPr>
              <w:t>标配五斗</w:t>
            </w:r>
            <w:r>
              <w:rPr>
                <w:rFonts w:hint="eastAsia" w:ascii="仿宋" w:hAnsi="仿宋" w:eastAsia="仿宋" w:cs="仿宋"/>
                <w:color w:val="000000" w:themeColor="text1"/>
                <w:sz w:val="21"/>
                <w:szCs w:val="21"/>
                <w14:textFill>
                  <w14:solidFill>
                    <w14:schemeClr w14:val="tx1"/>
                  </w14:solidFill>
                </w14:textFill>
              </w:rPr>
              <w:t>移动柜采用双层</w:t>
            </w:r>
            <w:r>
              <w:rPr>
                <w:rFonts w:hint="eastAsia" w:ascii="仿宋" w:hAnsi="仿宋" w:eastAsia="仿宋" w:cs="仿宋"/>
                <w:b/>
                <w:bCs/>
                <w:color w:val="000000" w:themeColor="text1"/>
                <w:sz w:val="21"/>
                <w:szCs w:val="21"/>
                <w14:textFill>
                  <w14:solidFill>
                    <w14:schemeClr w14:val="tx1"/>
                  </w14:solidFill>
                </w14:textFill>
              </w:rPr>
              <w:t>镀锌钢板材质</w:t>
            </w:r>
            <w:r>
              <w:rPr>
                <w:rFonts w:hint="eastAsia" w:ascii="仿宋" w:hAnsi="仿宋" w:eastAsia="仿宋" w:cs="仿宋"/>
                <w:color w:val="000000" w:themeColor="text1"/>
                <w:sz w:val="21"/>
                <w:szCs w:val="21"/>
                <w14:textFill>
                  <w14:solidFill>
                    <w14:schemeClr w14:val="tx1"/>
                  </w14:solidFill>
                </w14:textFill>
              </w:rPr>
              <w:t>，主体框架另加承重方管及内衬加强条结构钢板，单层厚度不小于1.0mm。标准规格不小于5</w:t>
            </w:r>
            <w:r>
              <w:rPr>
                <w:rFonts w:ascii="仿宋" w:hAnsi="仿宋" w:eastAsia="仿宋" w:cs="仿宋"/>
                <w:color w:val="000000" w:themeColor="text1"/>
                <w:sz w:val="21"/>
                <w:szCs w:val="21"/>
                <w14:textFill>
                  <w14:solidFill>
                    <w14:schemeClr w14:val="tx1"/>
                  </w14:solidFill>
                </w14:textFill>
              </w:rPr>
              <w:t>26</w:t>
            </w:r>
            <w:r>
              <w:rPr>
                <w:rFonts w:hint="eastAsia" w:ascii="仿宋" w:hAnsi="仿宋" w:eastAsia="仿宋" w:cs="仿宋"/>
                <w:color w:val="000000" w:themeColor="text1"/>
                <w:sz w:val="21"/>
                <w:szCs w:val="21"/>
                <w14:textFill>
                  <w14:solidFill>
                    <w14:schemeClr w14:val="tx1"/>
                  </w14:solidFill>
                </w14:textFill>
              </w:rPr>
              <w:t>mm*</w:t>
            </w:r>
            <w:r>
              <w:rPr>
                <w:rFonts w:ascii="仿宋" w:hAnsi="仿宋" w:eastAsia="仿宋" w:cs="仿宋"/>
                <w:color w:val="000000" w:themeColor="text1"/>
                <w:sz w:val="21"/>
                <w:szCs w:val="21"/>
                <w14:textFill>
                  <w14:solidFill>
                    <w14:schemeClr w14:val="tx1"/>
                  </w14:solidFill>
                </w14:textFill>
              </w:rPr>
              <w:t>49</w:t>
            </w:r>
            <w:r>
              <w:rPr>
                <w:rFonts w:hint="eastAsia" w:ascii="仿宋" w:hAnsi="仿宋" w:eastAsia="仿宋" w:cs="仿宋"/>
                <w:color w:val="000000" w:themeColor="text1"/>
                <w:sz w:val="21"/>
                <w:szCs w:val="21"/>
                <w14:textFill>
                  <w14:solidFill>
                    <w14:schemeClr w14:val="tx1"/>
                  </w14:solidFill>
                </w14:textFill>
              </w:rPr>
              <w:t>0mm*8</w:t>
            </w:r>
            <w:r>
              <w:rPr>
                <w:rFonts w:ascii="仿宋" w:hAnsi="仿宋" w:eastAsia="仿宋" w:cs="仿宋"/>
                <w:color w:val="000000" w:themeColor="text1"/>
                <w:sz w:val="21"/>
                <w:szCs w:val="21"/>
                <w14:textFill>
                  <w14:solidFill>
                    <w14:schemeClr w14:val="tx1"/>
                  </w14:solidFill>
                </w14:textFill>
              </w:rPr>
              <w:t>5</w:t>
            </w:r>
            <w:r>
              <w:rPr>
                <w:rFonts w:hint="eastAsia" w:ascii="仿宋" w:hAnsi="仿宋" w:eastAsia="仿宋" w:cs="仿宋"/>
                <w:color w:val="000000" w:themeColor="text1"/>
                <w:sz w:val="21"/>
                <w:szCs w:val="21"/>
                <w14:textFill>
                  <w14:solidFill>
                    <w14:schemeClr w14:val="tx1"/>
                  </w14:solidFill>
                </w14:textFill>
              </w:rPr>
              <w:t>0mm与边柜等高，也可按要求设计。移动柜台面采用与台面相同材质一次浇注成型，设计有三边（或四边）挡水线防止物体滑掉，抽屉均安装三节承重阻尼自吸高档滑轨和不变色咬合稳固的铝合金拉手。可根据临床需求有多种拉手颜色可选（也可按用户要求定制颜色）。</w:t>
            </w:r>
          </w:p>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抽屉内配置不同规格的搁盘，可存放口腔临床需要的耗材器械，方便医生存取。移动柜底座安装4只内轴承承重万向轮，前轮带有锁定装置。</w:t>
            </w:r>
          </w:p>
        </w:tc>
        <w:tc>
          <w:tcPr>
            <w:tcW w:w="696"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4</w:t>
            </w:r>
          </w:p>
        </w:tc>
        <w:tc>
          <w:tcPr>
            <w:tcW w:w="1445" w:type="dxa"/>
            <w:vAlign w:val="center"/>
          </w:tcPr>
          <w:p>
            <w:pPr>
              <w:spacing w:line="360" w:lineRule="auto"/>
              <w:ind w:left="-240" w:leftChars="-100"/>
              <w:jc w:val="center"/>
              <w:rPr>
                <w:rFonts w:hint="default"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2900</w:t>
            </w:r>
            <w:r>
              <w:rPr>
                <w:rFonts w:hint="eastAsia" w:ascii="仿宋" w:hAnsi="仿宋" w:eastAsia="仿宋" w:cs="仿宋"/>
                <w:color w:val="000000" w:themeColor="text1"/>
                <w:lang w:val="en-US" w:eastAsia="zh-CN"/>
                <w14:textFill>
                  <w14:solidFill>
                    <w14:schemeClr w14:val="tx1"/>
                  </w14:solidFill>
                </w14:textFill>
              </w:rPr>
              <w:t>元/个</w:t>
            </w:r>
          </w:p>
        </w:tc>
        <w:tc>
          <w:tcPr>
            <w:tcW w:w="524"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个</w:t>
            </w:r>
          </w:p>
        </w:tc>
        <w:tc>
          <w:tcPr>
            <w:tcW w:w="1494" w:type="dxa"/>
            <w:vAlign w:val="center"/>
          </w:tcPr>
          <w:p>
            <w:pPr>
              <w:spacing w:line="360" w:lineRule="auto"/>
              <w:ind w:hanging="3"/>
              <w:jc w:val="center"/>
              <w:rPr>
                <w:rFonts w:ascii="仿宋" w:hAnsi="仿宋" w:eastAsia="仿宋" w:cs="仿宋"/>
                <w:color w:val="000000" w:themeColor="text1"/>
                <w:lang w:eastAsia="zh-CN"/>
                <w14:textFill>
                  <w14:solidFill>
                    <w14:schemeClr w14:val="tx1"/>
                  </w14:solidFill>
                </w14:textFill>
              </w:rPr>
            </w:pPr>
          </w:p>
        </w:tc>
        <w:tc>
          <w:tcPr>
            <w:tcW w:w="2291" w:type="dxa"/>
          </w:tcPr>
          <w:p>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drawing>
                <wp:inline distT="0" distB="0" distL="114300" distR="114300">
                  <wp:extent cx="1347470" cy="1546225"/>
                  <wp:effectExtent l="0" t="0" r="5080" b="15875"/>
                  <wp:docPr id="4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3"/>
                          <pic:cNvPicPr>
                            <a:picLocks noChangeAspect="1"/>
                          </pic:cNvPicPr>
                        </pic:nvPicPr>
                        <pic:blipFill>
                          <a:blip r:embed="rId8" cstate="print"/>
                          <a:stretch>
                            <a:fillRect/>
                          </a:stretch>
                        </pic:blipFill>
                        <pic:spPr>
                          <a:xfrm>
                            <a:off x="0" y="0"/>
                            <a:ext cx="1347470" cy="154622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600" w:type="dxa"/>
          </w:tcPr>
          <w:p>
            <w:pPr>
              <w:tabs>
                <w:tab w:val="left" w:pos="720"/>
              </w:tabs>
              <w:spacing w:line="360" w:lineRule="auto"/>
              <w:ind w:left="-240" w:leftChars="-100"/>
              <w:jc w:val="righ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5</w:t>
            </w:r>
          </w:p>
        </w:tc>
        <w:tc>
          <w:tcPr>
            <w:tcW w:w="750" w:type="dxa"/>
          </w:tcPr>
          <w:p>
            <w:pPr>
              <w:spacing w:line="360" w:lineRule="auto"/>
              <w:jc w:val="lef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吊柜</w:t>
            </w:r>
          </w:p>
        </w:tc>
        <w:tc>
          <w:tcPr>
            <w:tcW w:w="6518" w:type="dxa"/>
          </w:tcPr>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1）采用双层</w:t>
            </w:r>
            <w:r>
              <w:rPr>
                <w:rFonts w:hint="eastAsia" w:ascii="仿宋" w:hAnsi="仿宋" w:eastAsia="仿宋" w:cs="仿宋"/>
                <w:b/>
                <w:bCs/>
                <w:color w:val="000000" w:themeColor="text1"/>
                <w:sz w:val="21"/>
                <w:szCs w:val="21"/>
                <w14:textFill>
                  <w14:solidFill>
                    <w14:schemeClr w14:val="tx1"/>
                  </w14:solidFill>
                </w14:textFill>
              </w:rPr>
              <w:t>镀锌钢板材质</w:t>
            </w:r>
            <w:r>
              <w:rPr>
                <w:rFonts w:hint="eastAsia" w:ascii="仿宋" w:hAnsi="仿宋" w:eastAsia="仿宋" w:cs="仿宋"/>
                <w:color w:val="000000" w:themeColor="text1"/>
                <w:sz w:val="21"/>
                <w:szCs w:val="21"/>
                <w14:textFill>
                  <w14:solidFill>
                    <w14:schemeClr w14:val="tx1"/>
                  </w14:solidFill>
                </w14:textFill>
              </w:rPr>
              <w:t>，单层厚度不小于1.0mm，吊柜底部与边柜台面高度要设计合理。一般离边柜台面700mm。</w:t>
            </w:r>
          </w:p>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2）吊柜内配置多功能隔板，可分层存放医疗用品及器械。吊柜内可设计手套盒和纸巾盒方便医生随时取出使用。</w:t>
            </w:r>
          </w:p>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3）吊柜标准规格：深高不小于3</w:t>
            </w:r>
            <w:r>
              <w:rPr>
                <w:rFonts w:ascii="仿宋" w:hAnsi="仿宋" w:eastAsia="仿宋" w:cs="仿宋"/>
                <w:color w:val="000000" w:themeColor="text1"/>
                <w:sz w:val="21"/>
                <w:szCs w:val="21"/>
                <w14:textFill>
                  <w14:solidFill>
                    <w14:schemeClr w14:val="tx1"/>
                  </w14:solidFill>
                </w14:textFill>
              </w:rPr>
              <w:t>0</w:t>
            </w:r>
            <w:r>
              <w:rPr>
                <w:rFonts w:hint="eastAsia" w:ascii="仿宋" w:hAnsi="仿宋" w:eastAsia="仿宋" w:cs="仿宋"/>
                <w:color w:val="000000" w:themeColor="text1"/>
                <w:sz w:val="21"/>
                <w:szCs w:val="21"/>
                <w14:textFill>
                  <w14:solidFill>
                    <w14:schemeClr w14:val="tx1"/>
                  </w14:solidFill>
                </w14:textFill>
              </w:rPr>
              <w:t>0mm*600mm。可按要求定制。</w:t>
            </w:r>
          </w:p>
        </w:tc>
        <w:tc>
          <w:tcPr>
            <w:tcW w:w="696"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4</w:t>
            </w:r>
          </w:p>
        </w:tc>
        <w:tc>
          <w:tcPr>
            <w:tcW w:w="1445"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2200</w:t>
            </w:r>
            <w:r>
              <w:rPr>
                <w:rFonts w:hint="eastAsia"/>
                <w:color w:val="000000" w:themeColor="text1"/>
                <w14:textFill>
                  <w14:solidFill>
                    <w14:schemeClr w14:val="tx1"/>
                  </w14:solidFill>
                </w14:textFill>
              </w:rPr>
              <w:t>元/米</w:t>
            </w:r>
          </w:p>
        </w:tc>
        <w:tc>
          <w:tcPr>
            <w:tcW w:w="524"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米</w:t>
            </w:r>
          </w:p>
        </w:tc>
        <w:tc>
          <w:tcPr>
            <w:tcW w:w="1494" w:type="dxa"/>
            <w:vAlign w:val="center"/>
          </w:tcPr>
          <w:p>
            <w:pPr>
              <w:spacing w:line="360" w:lineRule="auto"/>
              <w:ind w:hanging="3"/>
              <w:jc w:val="center"/>
              <w:rPr>
                <w:rFonts w:ascii="仿宋" w:hAnsi="仿宋" w:eastAsia="仿宋" w:cs="仿宋"/>
                <w:color w:val="000000" w:themeColor="text1"/>
                <w:lang w:eastAsia="zh-CN"/>
                <w14:textFill>
                  <w14:solidFill>
                    <w14:schemeClr w14:val="tx1"/>
                  </w14:solidFill>
                </w14:textFill>
              </w:rPr>
            </w:pPr>
          </w:p>
        </w:tc>
        <w:tc>
          <w:tcPr>
            <w:tcW w:w="2291" w:type="dxa"/>
            <w:vAlign w:val="center"/>
          </w:tcPr>
          <w:p>
            <w:pPr>
              <w:widowControl/>
              <w:jc w:val="center"/>
              <w:textAlignment w:val="center"/>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lang w:eastAsia="zh-CN"/>
                <w14:textFill>
                  <w14:solidFill>
                    <w14:schemeClr w14:val="tx1"/>
                  </w14:solidFill>
                </w14:textFill>
              </w:rPr>
              <w:drawing>
                <wp:inline distT="0" distB="0" distL="0" distR="0">
                  <wp:extent cx="1318260" cy="982980"/>
                  <wp:effectExtent l="19050" t="0" r="0" b="0"/>
                  <wp:docPr id="5" name="图片 4" descr="ed987b5393f8ac6de7cba7ad7056c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ed987b5393f8ac6de7cba7ad7056c83.png"/>
                          <pic:cNvPicPr>
                            <a:picLocks noChangeAspect="1"/>
                          </pic:cNvPicPr>
                        </pic:nvPicPr>
                        <pic:blipFill>
                          <a:blip r:embed="rId9" cstate="print"/>
                          <a:stretch>
                            <a:fillRect/>
                          </a:stretch>
                        </pic:blipFill>
                        <pic:spPr>
                          <a:xfrm>
                            <a:off x="0" y="0"/>
                            <a:ext cx="1320550" cy="9847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600" w:type="dxa"/>
          </w:tcPr>
          <w:p>
            <w:pPr>
              <w:tabs>
                <w:tab w:val="left" w:pos="720"/>
              </w:tabs>
              <w:spacing w:line="360" w:lineRule="auto"/>
              <w:ind w:left="-240" w:leftChars="-100"/>
              <w:jc w:val="righ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6</w:t>
            </w:r>
          </w:p>
        </w:tc>
        <w:tc>
          <w:tcPr>
            <w:tcW w:w="750" w:type="dxa"/>
          </w:tcPr>
          <w:p>
            <w:pPr>
              <w:spacing w:line="360" w:lineRule="auto"/>
              <w:jc w:val="lef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隔断</w:t>
            </w:r>
          </w:p>
        </w:tc>
        <w:tc>
          <w:tcPr>
            <w:tcW w:w="6518" w:type="dxa"/>
          </w:tcPr>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 隔断主框架：隔断主体材质为镀锌钢管，中间框架为7mm的C型钢，上部采用钢化玻璃，玻璃厚度≥5mm，，双面挂板，板厚为≥1mm，颜色根据客户需要定制。上部为钢化玻璃。下部面板材料采用双面优质镀锌板，表面采用彩色喷塑处理。中间可隐藏强弱电线和电源插座，隔板宽度为≥84mm。中间可隐藏强弱电线和电源插座。</w:t>
            </w:r>
            <w:r>
              <w:rPr>
                <w:rFonts w:hint="eastAsia" w:ascii="仿宋" w:hAnsi="仿宋" w:eastAsia="仿宋" w:cs="仿宋"/>
                <w:color w:val="000000" w:themeColor="text1"/>
                <w:sz w:val="21"/>
                <w:szCs w:val="21"/>
                <w:lang w:eastAsia="zh-CN"/>
                <w14:textFill>
                  <w14:solidFill>
                    <w14:schemeClr w14:val="tx1"/>
                  </w14:solidFill>
                </w14:textFill>
              </w:rPr>
              <w:t xml:space="preserve"> </w:t>
            </w:r>
            <w:r>
              <w:rPr>
                <w:rFonts w:ascii="仿宋" w:hAnsi="仿宋" w:eastAsia="仿宋" w:cs="仿宋"/>
                <w:color w:val="000000" w:themeColor="text1"/>
                <w:sz w:val="21"/>
                <w:szCs w:val="21"/>
                <w:lang w:eastAsia="zh-CN"/>
                <w14:textFill>
                  <w14:solidFill>
                    <w14:schemeClr w14:val="tx1"/>
                  </w14:solidFill>
                </w14:textFill>
              </w:rPr>
              <w:t xml:space="preserve">                           </w:t>
            </w:r>
            <w:r>
              <w:rPr>
                <w:rFonts w:hint="eastAsia" w:ascii="仿宋" w:hAnsi="仿宋" w:eastAsia="仿宋" w:cs="仿宋"/>
                <w:color w:val="000000" w:themeColor="text1"/>
                <w:sz w:val="21"/>
                <w:szCs w:val="21"/>
                <w14:textFill>
                  <w14:solidFill>
                    <w14:schemeClr w14:val="tx1"/>
                  </w14:solidFill>
                </w14:textFill>
              </w:rPr>
              <w:t>2. 隔断之间及隔断与医生工作台可紧密相连，并保证两者相连后稳固、无间隙。可以使用隐蔽固定立柱进行与地面的独立固定，确保稳定性，最上端摇晃幅度不大于30mm。</w:t>
            </w:r>
            <w:r>
              <w:rPr>
                <w:rFonts w:hint="eastAsia" w:ascii="仿宋" w:hAnsi="仿宋" w:eastAsia="仿宋" w:cs="仿宋"/>
                <w:color w:val="000000" w:themeColor="text1"/>
                <w:sz w:val="21"/>
                <w:szCs w:val="21"/>
                <w:lang w:eastAsia="zh-CN"/>
                <w14:textFill>
                  <w14:solidFill>
                    <w14:schemeClr w14:val="tx1"/>
                  </w14:solidFill>
                </w14:textFill>
              </w:rPr>
              <w:t xml:space="preserve"> </w:t>
            </w:r>
            <w:r>
              <w:rPr>
                <w:rFonts w:ascii="仿宋" w:hAnsi="仿宋" w:eastAsia="仿宋" w:cs="仿宋"/>
                <w:color w:val="000000" w:themeColor="text1"/>
                <w:sz w:val="21"/>
                <w:szCs w:val="21"/>
                <w:lang w:eastAsia="zh-CN"/>
                <w14:textFill>
                  <w14:solidFill>
                    <w14:schemeClr w14:val="tx1"/>
                  </w14:solidFill>
                </w14:textFill>
              </w:rPr>
              <w:t xml:space="preserve">                                       </w:t>
            </w:r>
            <w:r>
              <w:rPr>
                <w:rFonts w:hint="eastAsia" w:ascii="仿宋" w:hAnsi="仿宋" w:eastAsia="仿宋" w:cs="仿宋"/>
                <w:color w:val="000000" w:themeColor="text1"/>
                <w:sz w:val="21"/>
                <w:szCs w:val="21"/>
                <w14:textFill>
                  <w14:solidFill>
                    <w14:schemeClr w14:val="tx1"/>
                  </w14:solidFill>
                </w14:textFill>
              </w:rPr>
              <w:t>3. 连接方式：方管内置固定立柱可与边柜及地面连接固定、安全、坚固，与边柜无缝连接。</w:t>
            </w:r>
            <w:r>
              <w:rPr>
                <w:rFonts w:hint="eastAsia" w:ascii="仿宋" w:hAnsi="仿宋" w:eastAsia="仿宋" w:cs="仿宋"/>
                <w:color w:val="000000" w:themeColor="text1"/>
                <w:sz w:val="21"/>
                <w:szCs w:val="21"/>
                <w:lang w:eastAsia="zh-CN"/>
                <w14:textFill>
                  <w14:solidFill>
                    <w14:schemeClr w14:val="tx1"/>
                  </w14:solidFill>
                </w14:textFill>
              </w:rPr>
              <w:t xml:space="preserve"> </w:t>
            </w:r>
            <w:r>
              <w:rPr>
                <w:rFonts w:ascii="仿宋" w:hAnsi="仿宋" w:eastAsia="仿宋" w:cs="仿宋"/>
                <w:color w:val="000000" w:themeColor="text1"/>
                <w:sz w:val="21"/>
                <w:szCs w:val="21"/>
                <w:lang w:eastAsia="zh-CN"/>
                <w14:textFill>
                  <w14:solidFill>
                    <w14:schemeClr w14:val="tx1"/>
                  </w14:solidFill>
                </w14:textFill>
              </w:rPr>
              <w:t xml:space="preserve">                                                        </w:t>
            </w:r>
            <w:r>
              <w:rPr>
                <w:rFonts w:hint="eastAsia" w:ascii="仿宋" w:hAnsi="仿宋" w:eastAsia="仿宋" w:cs="仿宋"/>
                <w:color w:val="000000" w:themeColor="text1"/>
                <w:sz w:val="21"/>
                <w:szCs w:val="21"/>
                <w14:textFill>
                  <w14:solidFill>
                    <w14:schemeClr w14:val="tx1"/>
                  </w14:solidFill>
                </w14:textFill>
              </w:rPr>
              <w:t>4. 拐角端头：隔断的拐角及端头弧度处理使隔断整体美观，防止人员意外磕碰造成伤害。</w:t>
            </w:r>
            <w:r>
              <w:rPr>
                <w:rFonts w:hint="eastAsia" w:ascii="仿宋" w:hAnsi="仿宋" w:eastAsia="仿宋" w:cs="仿宋"/>
                <w:color w:val="000000" w:themeColor="text1"/>
                <w:sz w:val="21"/>
                <w:szCs w:val="21"/>
                <w:lang w:eastAsia="zh-CN"/>
                <w14:textFill>
                  <w14:solidFill>
                    <w14:schemeClr w14:val="tx1"/>
                  </w14:solidFill>
                </w14:textFill>
              </w:rPr>
              <w:t xml:space="preserve"> </w:t>
            </w:r>
            <w:r>
              <w:rPr>
                <w:rFonts w:ascii="仿宋" w:hAnsi="仿宋" w:eastAsia="仿宋" w:cs="仿宋"/>
                <w:color w:val="000000" w:themeColor="text1"/>
                <w:sz w:val="21"/>
                <w:szCs w:val="21"/>
                <w:lang w:eastAsia="zh-CN"/>
                <w14:textFill>
                  <w14:solidFill>
                    <w14:schemeClr w14:val="tx1"/>
                  </w14:solidFill>
                </w14:textFill>
              </w:rPr>
              <w:t xml:space="preserve">                                                          </w:t>
            </w:r>
            <w:r>
              <w:rPr>
                <w:rFonts w:hint="eastAsia" w:ascii="仿宋" w:hAnsi="仿宋" w:eastAsia="仿宋" w:cs="仿宋"/>
                <w:color w:val="000000" w:themeColor="text1"/>
                <w:sz w:val="21"/>
                <w:szCs w:val="21"/>
                <w14:textFill>
                  <w14:solidFill>
                    <w14:schemeClr w14:val="tx1"/>
                  </w14:solidFill>
                </w14:textFill>
              </w:rPr>
              <w:t>5. 玻璃：采用双层钢化玻璃，单层厚度≥5mm钢化玻璃，符合GBT15763.2《家具用钢化玻璃板》要求，耐重力冲击性能强，中间可镶嵌呼叫显示屏。。</w:t>
            </w:r>
          </w:p>
        </w:tc>
        <w:tc>
          <w:tcPr>
            <w:tcW w:w="696"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5</w:t>
            </w:r>
          </w:p>
        </w:tc>
        <w:tc>
          <w:tcPr>
            <w:tcW w:w="1445"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1150</w:t>
            </w:r>
            <w:r>
              <w:rPr>
                <w:rFonts w:hint="eastAsia"/>
                <w:color w:val="000000" w:themeColor="text1"/>
                <w14:textFill>
                  <w14:solidFill>
                    <w14:schemeClr w14:val="tx1"/>
                  </w14:solidFill>
                </w14:textFill>
              </w:rPr>
              <w:t>元/</w:t>
            </w:r>
            <w:r>
              <w:rPr>
                <w:rFonts w:hint="eastAsia" w:ascii="仿宋" w:hAnsi="仿宋" w:eastAsia="仿宋" w:cs="仿宋"/>
                <w:color w:val="000000" w:themeColor="text1"/>
                <w:lang w:eastAsia="zh-CN"/>
                <w14:textFill>
                  <w14:solidFill>
                    <w14:schemeClr w14:val="tx1"/>
                  </w14:solidFill>
                </w14:textFill>
              </w:rPr>
              <w:t>㎡</w:t>
            </w:r>
          </w:p>
        </w:tc>
        <w:tc>
          <w:tcPr>
            <w:tcW w:w="524"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w:t>
            </w:r>
          </w:p>
        </w:tc>
        <w:tc>
          <w:tcPr>
            <w:tcW w:w="1494" w:type="dxa"/>
            <w:vAlign w:val="center"/>
          </w:tcPr>
          <w:p>
            <w:pPr>
              <w:spacing w:line="360" w:lineRule="auto"/>
              <w:ind w:hanging="3"/>
              <w:jc w:val="center"/>
              <w:rPr>
                <w:rFonts w:ascii="仿宋" w:hAnsi="仿宋" w:eastAsia="仿宋" w:cs="仿宋"/>
                <w:color w:val="000000" w:themeColor="text1"/>
                <w:lang w:eastAsia="zh-CN"/>
                <w14:textFill>
                  <w14:solidFill>
                    <w14:schemeClr w14:val="tx1"/>
                  </w14:solidFill>
                </w14:textFill>
              </w:rPr>
            </w:pPr>
          </w:p>
        </w:tc>
        <w:tc>
          <w:tcPr>
            <w:tcW w:w="2291" w:type="dxa"/>
            <w:vAlign w:val="center"/>
          </w:tcPr>
          <w:p>
            <w:pPr>
              <w:widowControl/>
              <w:jc w:val="center"/>
              <w:textAlignment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lang w:eastAsia="zh-CN"/>
                <w14:textFill>
                  <w14:solidFill>
                    <w14:schemeClr w14:val="tx1"/>
                  </w14:solidFill>
                </w14:textFill>
              </w:rPr>
              <w:drawing>
                <wp:inline distT="0" distB="0" distL="114300" distR="114300">
                  <wp:extent cx="1301750" cy="1000760"/>
                  <wp:effectExtent l="0" t="0" r="12700" b="8890"/>
                  <wp:docPr id="50"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7" descr="IMG_256"/>
                          <pic:cNvPicPr>
                            <a:picLocks noChangeAspect="1"/>
                          </pic:cNvPicPr>
                        </pic:nvPicPr>
                        <pic:blipFill>
                          <a:blip r:embed="rId10" cstate="print"/>
                          <a:stretch>
                            <a:fillRect/>
                          </a:stretch>
                        </pic:blipFill>
                        <pic:spPr>
                          <a:xfrm>
                            <a:off x="0" y="0"/>
                            <a:ext cx="1301750" cy="100076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600" w:type="dxa"/>
          </w:tcPr>
          <w:p>
            <w:pPr>
              <w:tabs>
                <w:tab w:val="left" w:pos="720"/>
              </w:tabs>
              <w:spacing w:line="360" w:lineRule="auto"/>
              <w:ind w:left="-240" w:leftChars="-100"/>
              <w:jc w:val="righ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7</w:t>
            </w:r>
          </w:p>
        </w:tc>
        <w:tc>
          <w:tcPr>
            <w:tcW w:w="750" w:type="dxa"/>
          </w:tcPr>
          <w:p>
            <w:pPr>
              <w:spacing w:line="360" w:lineRule="auto"/>
              <w:jc w:val="lef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储物柜</w:t>
            </w:r>
          </w:p>
        </w:tc>
        <w:tc>
          <w:tcPr>
            <w:tcW w:w="6518" w:type="dxa"/>
          </w:tcPr>
          <w:p>
            <w:pPr>
              <w:jc w:val="left"/>
              <w:rPr>
                <w:rFonts w:ascii="仿宋" w:hAnsi="仿宋" w:eastAsia="仿宋" w:cs="仿宋"/>
                <w:color w:val="000000" w:themeColor="text1"/>
                <w:sz w:val="21"/>
                <w:szCs w:val="21"/>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储物功能柜可按要求设计，储物柜内要求设计有层板，并可随意升高或降低。采用双层</w:t>
            </w:r>
            <w:r>
              <w:rPr>
                <w:rFonts w:hint="eastAsia" w:ascii="仿宋" w:hAnsi="仿宋" w:eastAsia="仿宋" w:cs="仿宋"/>
                <w:b/>
                <w:bCs/>
                <w:color w:val="000000" w:themeColor="text1"/>
                <w:sz w:val="21"/>
                <w:szCs w:val="21"/>
                <w14:textFill>
                  <w14:solidFill>
                    <w14:schemeClr w14:val="tx1"/>
                  </w14:solidFill>
                </w14:textFill>
              </w:rPr>
              <w:t>镀锌钢板材质</w:t>
            </w:r>
            <w:r>
              <w:rPr>
                <w:rFonts w:hint="eastAsia" w:ascii="仿宋" w:hAnsi="仿宋" w:eastAsia="仿宋" w:cs="仿宋"/>
                <w:color w:val="000000" w:themeColor="text1"/>
                <w:sz w:val="21"/>
                <w:szCs w:val="21"/>
                <w14:textFill>
                  <w14:solidFill>
                    <w14:schemeClr w14:val="tx1"/>
                  </w14:solidFill>
                </w14:textFill>
              </w:rPr>
              <w:t>，主体框架另加承重方管及内衬加强条结构钢板，单层厚度不小于1.0mm。柜体内外面板采用国际先进环氧树脂喷塑涂层工艺覆盖，通过高温烘烤防锈处理，具有无毒、无味、环保和防锈功能。产品坚硬稳定、经久耐用。</w:t>
            </w:r>
            <w:r>
              <w:rPr>
                <w:rFonts w:hint="eastAsia" w:ascii="仿宋" w:hAnsi="仿宋" w:eastAsia="仿宋" w:cs="仿宋"/>
                <w:color w:val="000000" w:themeColor="text1"/>
                <w:sz w:val="21"/>
                <w:szCs w:val="21"/>
                <w14:textFill>
                  <w14:solidFill>
                    <w14:schemeClr w14:val="tx1"/>
                  </w14:solidFill>
                </w14:textFill>
              </w:rPr>
              <w:br w:type="textWrapping"/>
            </w:r>
            <w:r>
              <w:rPr>
                <w:rFonts w:hint="eastAsia" w:ascii="仿宋" w:hAnsi="仿宋" w:eastAsia="仿宋" w:cs="仿宋"/>
                <w:color w:val="000000" w:themeColor="text1"/>
                <w:sz w:val="21"/>
                <w:szCs w:val="21"/>
                <w:lang w:eastAsia="zh-CN"/>
                <w14:textFill>
                  <w14:solidFill>
                    <w14:schemeClr w14:val="tx1"/>
                  </w14:solidFill>
                </w14:textFill>
              </w:rPr>
              <w:t>（规格不小于1800*500*900）</w:t>
            </w:r>
            <w:r>
              <w:rPr>
                <w:rFonts w:hint="eastAsia" w:ascii="仿宋" w:hAnsi="仿宋" w:eastAsia="仿宋" w:cs="仿宋"/>
                <w:color w:val="000000" w:themeColor="text1"/>
                <w:sz w:val="21"/>
                <w:szCs w:val="21"/>
                <w14:textFill>
                  <w14:solidFill>
                    <w14:schemeClr w14:val="tx1"/>
                  </w14:solidFill>
                </w14:textFill>
              </w:rPr>
              <w:t>。可按要求定制。</w:t>
            </w:r>
          </w:p>
        </w:tc>
        <w:tc>
          <w:tcPr>
            <w:tcW w:w="696"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w:t>
            </w:r>
          </w:p>
        </w:tc>
        <w:tc>
          <w:tcPr>
            <w:tcW w:w="1445"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3500</w:t>
            </w:r>
            <w:r>
              <w:rPr>
                <w:rFonts w:hint="eastAsia"/>
                <w:color w:val="000000" w:themeColor="text1"/>
                <w14:textFill>
                  <w14:solidFill>
                    <w14:schemeClr w14:val="tx1"/>
                  </w14:solidFill>
                </w14:textFill>
              </w:rPr>
              <w:t>元/米</w:t>
            </w:r>
          </w:p>
        </w:tc>
        <w:tc>
          <w:tcPr>
            <w:tcW w:w="524"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个</w:t>
            </w:r>
          </w:p>
        </w:tc>
        <w:tc>
          <w:tcPr>
            <w:tcW w:w="1494" w:type="dxa"/>
            <w:vAlign w:val="center"/>
          </w:tcPr>
          <w:p>
            <w:pPr>
              <w:spacing w:line="360" w:lineRule="auto"/>
              <w:ind w:hanging="3"/>
              <w:jc w:val="center"/>
              <w:rPr>
                <w:rFonts w:ascii="仿宋" w:hAnsi="仿宋" w:eastAsia="仿宋" w:cs="仿宋"/>
                <w:color w:val="000000" w:themeColor="text1"/>
                <w:lang w:eastAsia="zh-CN"/>
                <w14:textFill>
                  <w14:solidFill>
                    <w14:schemeClr w14:val="tx1"/>
                  </w14:solidFill>
                </w14:textFill>
              </w:rPr>
            </w:pPr>
          </w:p>
        </w:tc>
        <w:tc>
          <w:tcPr>
            <w:tcW w:w="2291" w:type="dxa"/>
          </w:tcPr>
          <w:p>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kern w:val="0"/>
                <w:sz w:val="22"/>
                <w:szCs w:val="22"/>
                <w:lang w:eastAsia="zh-CN"/>
                <w14:textFill>
                  <w14:solidFill>
                    <w14:schemeClr w14:val="tx1"/>
                  </w14:solidFill>
                </w14:textFill>
              </w:rPr>
              <w:drawing>
                <wp:inline distT="0" distB="0" distL="114300" distR="114300">
                  <wp:extent cx="1259840" cy="1889760"/>
                  <wp:effectExtent l="0" t="0" r="16510" b="15240"/>
                  <wp:docPr id="51"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8" descr="IMG_256"/>
                          <pic:cNvPicPr>
                            <a:picLocks noChangeAspect="1"/>
                          </pic:cNvPicPr>
                        </pic:nvPicPr>
                        <pic:blipFill>
                          <a:blip r:embed="rId11" cstate="print"/>
                          <a:stretch>
                            <a:fillRect/>
                          </a:stretch>
                        </pic:blipFill>
                        <pic:spPr>
                          <a:xfrm>
                            <a:off x="0" y="0"/>
                            <a:ext cx="1259840" cy="1889760"/>
                          </a:xfrm>
                          <a:prstGeom prst="rect">
                            <a:avLst/>
                          </a:prstGeom>
                          <a:noFill/>
                          <a:ln w="9525">
                            <a:noFill/>
                          </a:ln>
                        </pic:spPr>
                      </pic:pic>
                    </a:graphicData>
                  </a:graphic>
                </wp:inline>
              </w:drawing>
            </w:r>
          </w:p>
        </w:tc>
      </w:tr>
    </w:tbl>
    <w:p>
      <w:pPr>
        <w:tabs>
          <w:tab w:val="left" w:pos="720"/>
        </w:tabs>
        <w:spacing w:line="360" w:lineRule="auto"/>
        <w:ind w:left="-240" w:leftChars="-100"/>
        <w:jc w:val="righ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br w:type="page"/>
      </w:r>
    </w:p>
    <w:tbl>
      <w:tblPr>
        <w:tblStyle w:val="10"/>
        <w:tblW w:w="14332" w:type="dxa"/>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750"/>
        <w:gridCol w:w="6518"/>
        <w:gridCol w:w="709"/>
        <w:gridCol w:w="1435"/>
        <w:gridCol w:w="525"/>
        <w:gridCol w:w="1013"/>
        <w:gridCol w:w="2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600" w:type="dxa"/>
          </w:tcPr>
          <w:p>
            <w:pPr>
              <w:tabs>
                <w:tab w:val="left" w:pos="720"/>
              </w:tabs>
              <w:spacing w:line="360" w:lineRule="auto"/>
              <w:ind w:left="-240" w:leftChars="-100"/>
              <w:jc w:val="righ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8</w:t>
            </w:r>
          </w:p>
        </w:tc>
        <w:tc>
          <w:tcPr>
            <w:tcW w:w="750" w:type="dxa"/>
          </w:tcPr>
          <w:p>
            <w:pPr>
              <w:spacing w:line="360" w:lineRule="auto"/>
              <w:jc w:val="left"/>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移动垃圾柜</w:t>
            </w:r>
          </w:p>
        </w:tc>
        <w:tc>
          <w:tcPr>
            <w:tcW w:w="6518" w:type="dxa"/>
          </w:tcPr>
          <w:p>
            <w:pPr>
              <w:jc w:val="left"/>
              <w:rPr>
                <w:rFonts w:ascii="仿宋" w:hAnsi="仿宋" w:eastAsia="仿宋" w:cs="仿宋"/>
                <w:color w:val="000000" w:themeColor="text1"/>
                <w:sz w:val="21"/>
                <w:szCs w:val="21"/>
                <w:lang w:eastAsia="zh-CN"/>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台面为人造石仿瓷或者微晶石，柜体</w:t>
            </w:r>
            <w:r>
              <w:rPr>
                <w:rFonts w:hint="eastAsia" w:ascii="仿宋" w:hAnsi="仿宋" w:eastAsia="仿宋" w:cs="仿宋"/>
                <w:color w:val="000000" w:themeColor="text1"/>
                <w:sz w:val="21"/>
                <w:szCs w:val="21"/>
                <w14:textFill>
                  <w14:solidFill>
                    <w14:schemeClr w14:val="tx1"/>
                  </w14:solidFill>
                </w14:textFill>
              </w:rPr>
              <w:t>采用双层</w:t>
            </w:r>
            <w:r>
              <w:rPr>
                <w:rFonts w:hint="eastAsia" w:ascii="仿宋" w:hAnsi="仿宋" w:eastAsia="仿宋" w:cs="仿宋"/>
                <w:b/>
                <w:bCs/>
                <w:color w:val="000000" w:themeColor="text1"/>
                <w:sz w:val="21"/>
                <w:szCs w:val="21"/>
                <w14:textFill>
                  <w14:solidFill>
                    <w14:schemeClr w14:val="tx1"/>
                  </w14:solidFill>
                </w14:textFill>
              </w:rPr>
              <w:t>镀锌钢板材质</w:t>
            </w:r>
            <w:r>
              <w:rPr>
                <w:rFonts w:hint="eastAsia" w:ascii="仿宋" w:hAnsi="仿宋" w:eastAsia="仿宋" w:cs="仿宋"/>
                <w:color w:val="000000" w:themeColor="text1"/>
                <w:sz w:val="21"/>
                <w:szCs w:val="21"/>
                <w14:textFill>
                  <w14:solidFill>
                    <w14:schemeClr w14:val="tx1"/>
                  </w14:solidFill>
                </w14:textFill>
              </w:rPr>
              <w:t>，主体框架另加承重方管及内衬加强条结构钢板，单层厚度不小于1.0mm。柜体内外面板采用国际先进环氧树脂喷塑涂层工艺覆盖，通过高温烘烤防锈处理，具有无毒、无味、环保和防锈功能。产品坚硬稳定、经久耐用。</w:t>
            </w:r>
            <w:r>
              <w:rPr>
                <w:rFonts w:hint="eastAsia" w:ascii="仿宋" w:hAnsi="仿宋" w:eastAsia="仿宋" w:cs="仿宋"/>
                <w:color w:val="000000" w:themeColor="text1"/>
                <w:sz w:val="21"/>
                <w:szCs w:val="21"/>
                <w:lang w:eastAsia="zh-CN"/>
                <w14:textFill>
                  <w14:solidFill>
                    <w14:schemeClr w14:val="tx1"/>
                  </w14:solidFill>
                </w14:textFill>
              </w:rPr>
              <w:t>膝顶开门内置垃圾桶，柜体底部安装4只静音脚轮，2只带刹车功能。整体尺寸为不小于</w:t>
            </w:r>
            <w:r>
              <w:rPr>
                <w:rFonts w:ascii="仿宋" w:hAnsi="仿宋" w:eastAsia="仿宋" w:cs="仿宋"/>
                <w:color w:val="000000" w:themeColor="text1"/>
                <w:sz w:val="21"/>
                <w:szCs w:val="21"/>
                <w:lang w:eastAsia="zh-CN"/>
                <w14:textFill>
                  <w14:solidFill>
                    <w14:schemeClr w14:val="tx1"/>
                  </w14:solidFill>
                </w14:textFill>
              </w:rPr>
              <w:t>5</w:t>
            </w:r>
            <w:r>
              <w:rPr>
                <w:rFonts w:hint="eastAsia" w:ascii="仿宋" w:hAnsi="仿宋" w:eastAsia="仿宋" w:cs="仿宋"/>
                <w:color w:val="000000" w:themeColor="text1"/>
                <w:sz w:val="21"/>
                <w:szCs w:val="21"/>
                <w:lang w:eastAsia="zh-CN"/>
                <w14:textFill>
                  <w14:solidFill>
                    <w14:schemeClr w14:val="tx1"/>
                  </w14:solidFill>
                </w14:textFill>
              </w:rPr>
              <w:t>00*</w:t>
            </w:r>
            <w:r>
              <w:rPr>
                <w:rFonts w:ascii="仿宋" w:hAnsi="仿宋" w:eastAsia="仿宋" w:cs="仿宋"/>
                <w:color w:val="000000" w:themeColor="text1"/>
                <w:sz w:val="21"/>
                <w:szCs w:val="21"/>
                <w:lang w:eastAsia="zh-CN"/>
                <w14:textFill>
                  <w14:solidFill>
                    <w14:schemeClr w14:val="tx1"/>
                  </w14:solidFill>
                </w14:textFill>
              </w:rPr>
              <w:t>4</w:t>
            </w:r>
            <w:r>
              <w:rPr>
                <w:rFonts w:hint="eastAsia" w:ascii="仿宋" w:hAnsi="仿宋" w:eastAsia="仿宋" w:cs="仿宋"/>
                <w:color w:val="000000" w:themeColor="text1"/>
                <w:sz w:val="21"/>
                <w:szCs w:val="21"/>
                <w:lang w:eastAsia="zh-CN"/>
                <w14:textFill>
                  <w14:solidFill>
                    <w14:schemeClr w14:val="tx1"/>
                  </w14:solidFill>
                </w14:textFill>
              </w:rPr>
              <w:t>90*</w:t>
            </w:r>
            <w:r>
              <w:rPr>
                <w:rFonts w:ascii="仿宋" w:hAnsi="仿宋" w:eastAsia="仿宋" w:cs="仿宋"/>
                <w:color w:val="000000" w:themeColor="text1"/>
                <w:sz w:val="21"/>
                <w:szCs w:val="21"/>
                <w:lang w:eastAsia="zh-CN"/>
                <w14:textFill>
                  <w14:solidFill>
                    <w14:schemeClr w14:val="tx1"/>
                  </w14:solidFill>
                </w14:textFill>
              </w:rPr>
              <w:t>85</w:t>
            </w:r>
            <w:r>
              <w:rPr>
                <w:rFonts w:hint="eastAsia" w:ascii="仿宋" w:hAnsi="仿宋" w:eastAsia="仿宋" w:cs="仿宋"/>
                <w:color w:val="000000" w:themeColor="text1"/>
                <w:sz w:val="21"/>
                <w:szCs w:val="21"/>
                <w:lang w:eastAsia="zh-CN"/>
                <w14:textFill>
                  <w14:solidFill>
                    <w14:schemeClr w14:val="tx1"/>
                  </w14:solidFill>
                </w14:textFill>
              </w:rPr>
              <w:t>0mm，也可按照客户要求进行定制。</w:t>
            </w:r>
          </w:p>
        </w:tc>
        <w:tc>
          <w:tcPr>
            <w:tcW w:w="709"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w:t>
            </w:r>
          </w:p>
        </w:tc>
        <w:tc>
          <w:tcPr>
            <w:tcW w:w="1435" w:type="dxa"/>
            <w:vAlign w:val="center"/>
          </w:tcPr>
          <w:p>
            <w:pPr>
              <w:spacing w:line="360" w:lineRule="auto"/>
              <w:ind w:left="-240" w:leftChars="-100"/>
              <w:jc w:val="center"/>
              <w:rPr>
                <w:rFonts w:hint="eastAsia" w:ascii="仿宋" w:hAnsi="仿宋" w:eastAsia="宋体"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2800</w:t>
            </w:r>
            <w:r>
              <w:rPr>
                <w:rFonts w:hint="eastAsia"/>
                <w:color w:val="000000" w:themeColor="text1"/>
                <w14:textFill>
                  <w14:solidFill>
                    <w14:schemeClr w14:val="tx1"/>
                  </w14:solidFill>
                </w14:textFill>
              </w:rPr>
              <w:t>元/</w:t>
            </w:r>
            <w:r>
              <w:rPr>
                <w:rFonts w:hint="eastAsia"/>
                <w:color w:val="000000" w:themeColor="text1"/>
                <w:lang w:val="en-US" w:eastAsia="zh-CN"/>
                <w14:textFill>
                  <w14:solidFill>
                    <w14:schemeClr w14:val="tx1"/>
                  </w14:solidFill>
                </w14:textFill>
              </w:rPr>
              <w:t>个</w:t>
            </w:r>
          </w:p>
        </w:tc>
        <w:tc>
          <w:tcPr>
            <w:tcW w:w="525" w:type="dxa"/>
            <w:vAlign w:val="center"/>
          </w:tcPr>
          <w:p>
            <w:pPr>
              <w:spacing w:line="360" w:lineRule="auto"/>
              <w:ind w:hanging="3"/>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个</w:t>
            </w:r>
          </w:p>
        </w:tc>
        <w:tc>
          <w:tcPr>
            <w:tcW w:w="1013" w:type="dxa"/>
          </w:tcPr>
          <w:p>
            <w:pPr>
              <w:spacing w:line="360" w:lineRule="auto"/>
              <w:jc w:val="center"/>
              <w:rPr>
                <w:rFonts w:ascii="仿宋" w:hAnsi="仿宋" w:eastAsia="仿宋" w:cs="仿宋"/>
                <w:color w:val="000000" w:themeColor="text1"/>
                <w14:textFill>
                  <w14:solidFill>
                    <w14:schemeClr w14:val="tx1"/>
                  </w14:solidFill>
                </w14:textFill>
              </w:rPr>
            </w:pPr>
          </w:p>
        </w:tc>
        <w:tc>
          <w:tcPr>
            <w:tcW w:w="2782" w:type="dxa"/>
            <w:vAlign w:val="center"/>
          </w:tcPr>
          <w:p>
            <w:pPr>
              <w:spacing w:line="360" w:lineRule="auto"/>
              <w:jc w:val="center"/>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drawing>
                <wp:inline distT="0" distB="0" distL="114300" distR="114300">
                  <wp:extent cx="1619885" cy="1191260"/>
                  <wp:effectExtent l="0" t="0" r="18415" b="889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2" cstate="print"/>
                          <a:stretch>
                            <a:fillRect/>
                          </a:stretch>
                        </pic:blipFill>
                        <pic:spPr>
                          <a:xfrm>
                            <a:off x="0" y="0"/>
                            <a:ext cx="1619885" cy="119126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600" w:type="dxa"/>
          </w:tcPr>
          <w:p>
            <w:pPr>
              <w:spacing w:line="360" w:lineRule="auto"/>
              <w:jc w:val="both"/>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9</w:t>
            </w:r>
          </w:p>
        </w:tc>
        <w:tc>
          <w:tcPr>
            <w:tcW w:w="750" w:type="dxa"/>
          </w:tcPr>
          <w:p>
            <w:pPr>
              <w:spacing w:line="360" w:lineRule="auto"/>
              <w:jc w:val="both"/>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水盆垃圾柜</w:t>
            </w:r>
          </w:p>
        </w:tc>
        <w:tc>
          <w:tcPr>
            <w:tcW w:w="6518" w:type="dxa"/>
          </w:tcPr>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标配（不含水柜配件）</w:t>
            </w:r>
            <w:r>
              <w:rPr>
                <w:rFonts w:hint="eastAsia" w:ascii="仿宋" w:hAnsi="仿宋" w:eastAsia="仿宋" w:cs="仿宋"/>
                <w:color w:val="000000" w:themeColor="text1"/>
                <w:sz w:val="21"/>
                <w:szCs w:val="21"/>
                <w14:textFill>
                  <w14:solidFill>
                    <w14:schemeClr w14:val="tx1"/>
                  </w14:solidFill>
                </w14:textFill>
              </w:rPr>
              <w:t>双层</w:t>
            </w:r>
            <w:r>
              <w:rPr>
                <w:rFonts w:hint="eastAsia" w:ascii="仿宋" w:hAnsi="仿宋" w:eastAsia="仿宋" w:cs="仿宋"/>
                <w:b/>
                <w:bCs/>
                <w:color w:val="000000" w:themeColor="text1"/>
                <w:sz w:val="21"/>
                <w:szCs w:val="21"/>
                <w14:textFill>
                  <w14:solidFill>
                    <w14:schemeClr w14:val="tx1"/>
                  </w14:solidFill>
                </w14:textFill>
              </w:rPr>
              <w:t>镀锌钢板材质</w:t>
            </w:r>
            <w:r>
              <w:rPr>
                <w:rFonts w:hint="eastAsia" w:ascii="仿宋" w:hAnsi="仿宋" w:eastAsia="仿宋" w:cs="仿宋"/>
                <w:color w:val="000000" w:themeColor="text1"/>
                <w:sz w:val="21"/>
                <w:szCs w:val="21"/>
                <w14:textFill>
                  <w14:solidFill>
                    <w14:schemeClr w14:val="tx1"/>
                  </w14:solidFill>
                </w14:textFill>
              </w:rPr>
              <w:t>，主体框架另加承重方管及内衬加强条结构钢板，单层厚度不小于1.0mm。柜体内外面板采用国际先进环氧树脂喷塑涂层工艺覆盖，通过高温烘烤防锈处理，具有无毒、无味、环保和防锈功能。产品坚硬稳定、经久耐用。柜体总</w:t>
            </w:r>
            <w:r>
              <w:rPr>
                <w:rFonts w:hint="eastAsia" w:ascii="仿宋" w:hAnsi="仿宋" w:eastAsia="仿宋" w:cs="仿宋"/>
                <w:color w:val="000000" w:themeColor="text1"/>
                <w:sz w:val="21"/>
                <w:szCs w:val="21"/>
                <w:lang w:val="en-US" w:eastAsia="zh-CN"/>
                <w14:textFill>
                  <w14:solidFill>
                    <w14:schemeClr w14:val="tx1"/>
                  </w14:solidFill>
                </w14:textFill>
              </w:rPr>
              <w:t>高</w:t>
            </w:r>
            <w:r>
              <w:rPr>
                <w:rFonts w:hint="eastAsia" w:ascii="仿宋" w:hAnsi="仿宋" w:eastAsia="仿宋" w:cs="仿宋"/>
                <w:color w:val="000000" w:themeColor="text1"/>
                <w:sz w:val="21"/>
                <w:szCs w:val="21"/>
                <w14:textFill>
                  <w14:solidFill>
                    <w14:schemeClr w14:val="tx1"/>
                  </w14:solidFill>
                </w14:textFill>
              </w:rPr>
              <w:t>度为不小于8</w:t>
            </w:r>
            <w:r>
              <w:rPr>
                <w:rFonts w:hint="eastAsia" w:ascii="仿宋" w:hAnsi="仿宋" w:eastAsia="仿宋" w:cs="仿宋"/>
                <w:color w:val="000000" w:themeColor="text1"/>
                <w:sz w:val="21"/>
                <w:szCs w:val="21"/>
                <w:lang w:val="en-US" w:eastAsia="zh-CN"/>
                <w14:textFill>
                  <w14:solidFill>
                    <w14:schemeClr w14:val="tx1"/>
                  </w14:solidFill>
                </w14:textFill>
              </w:rPr>
              <w:t>2</w:t>
            </w:r>
            <w:r>
              <w:rPr>
                <w:rFonts w:hint="eastAsia" w:ascii="仿宋" w:hAnsi="仿宋" w:eastAsia="仿宋" w:cs="仿宋"/>
                <w:color w:val="000000" w:themeColor="text1"/>
                <w:sz w:val="21"/>
                <w:szCs w:val="21"/>
                <w14:textFill>
                  <w14:solidFill>
                    <w14:schemeClr w14:val="tx1"/>
                  </w14:solidFill>
                </w14:textFill>
              </w:rPr>
              <w:t>0mm。镂空底框或框架式底框，便于卫生清洁。长度适应现场尺寸设计</w:t>
            </w:r>
            <w:r>
              <w:rPr>
                <w:rFonts w:hint="eastAsia" w:ascii="仿宋" w:hAnsi="仿宋" w:eastAsia="仿宋" w:cs="仿宋"/>
                <w:color w:val="000000" w:themeColor="text1"/>
                <w:sz w:val="21"/>
                <w:szCs w:val="21"/>
                <w:lang w:eastAsia="zh-CN"/>
                <w14:textFill>
                  <w14:solidFill>
                    <w14:schemeClr w14:val="tx1"/>
                  </w14:solidFill>
                </w14:textFill>
              </w:rPr>
              <w:t>，洗手盆配置优质名牌水龙头，为了预防交叉感染水龙头出水方式为机械脚控出水。</w:t>
            </w:r>
          </w:p>
          <w:p>
            <w:pPr>
              <w:jc w:val="left"/>
              <w:rPr>
                <w:rFonts w:ascii="仿宋" w:hAnsi="仿宋" w:eastAsia="仿宋" w:cs="仿宋"/>
                <w:color w:val="000000" w:themeColor="text1"/>
                <w:sz w:val="21"/>
                <w:szCs w:val="21"/>
                <w14:textFill>
                  <w14:solidFill>
                    <w14:schemeClr w14:val="tx1"/>
                  </w14:solidFill>
                </w14:textFill>
              </w:rPr>
            </w:pPr>
          </w:p>
        </w:tc>
        <w:tc>
          <w:tcPr>
            <w:tcW w:w="709"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1</w:t>
            </w:r>
          </w:p>
        </w:tc>
        <w:tc>
          <w:tcPr>
            <w:tcW w:w="1435"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2300</w:t>
            </w:r>
            <w:r>
              <w:rPr>
                <w:rFonts w:hint="eastAsia"/>
                <w:color w:val="000000" w:themeColor="text1"/>
                <w14:textFill>
                  <w14:solidFill>
                    <w14:schemeClr w14:val="tx1"/>
                  </w14:solidFill>
                </w14:textFill>
              </w:rPr>
              <w:t>元/</w:t>
            </w:r>
            <w:r>
              <w:rPr>
                <w:rFonts w:hint="eastAsia"/>
                <w:color w:val="000000" w:themeColor="text1"/>
                <w:lang w:val="en-US" w:eastAsia="zh-CN"/>
                <w14:textFill>
                  <w14:solidFill>
                    <w14:schemeClr w14:val="tx1"/>
                  </w14:solidFill>
                </w14:textFill>
              </w:rPr>
              <w:t>个</w:t>
            </w:r>
          </w:p>
        </w:tc>
        <w:tc>
          <w:tcPr>
            <w:tcW w:w="525" w:type="dxa"/>
            <w:vAlign w:val="center"/>
          </w:tcPr>
          <w:p>
            <w:pPr>
              <w:spacing w:line="360" w:lineRule="auto"/>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个</w:t>
            </w:r>
          </w:p>
        </w:tc>
        <w:tc>
          <w:tcPr>
            <w:tcW w:w="1013" w:type="dxa"/>
          </w:tcPr>
          <w:p>
            <w:pPr>
              <w:spacing w:line="360" w:lineRule="auto"/>
              <w:jc w:val="both"/>
              <w:rPr>
                <w:color w:val="000000" w:themeColor="text1"/>
                <w:lang w:eastAsia="zh-CN"/>
                <w14:textFill>
                  <w14:solidFill>
                    <w14:schemeClr w14:val="tx1"/>
                  </w14:solidFill>
                </w14:textFill>
              </w:rPr>
            </w:pPr>
          </w:p>
        </w:tc>
        <w:tc>
          <w:tcPr>
            <w:tcW w:w="2782" w:type="dxa"/>
            <w:vAlign w:val="center"/>
          </w:tcPr>
          <w:p>
            <w:pPr>
              <w:spacing w:line="360" w:lineRule="auto"/>
              <w:jc w:val="center"/>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drawing>
                <wp:inline distT="0" distB="0" distL="114300" distR="114300">
                  <wp:extent cx="2047875" cy="1763395"/>
                  <wp:effectExtent l="0" t="0" r="9525" b="825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3" cstate="print"/>
                          <a:stretch>
                            <a:fillRect/>
                          </a:stretch>
                        </pic:blipFill>
                        <pic:spPr>
                          <a:xfrm>
                            <a:off x="0" y="0"/>
                            <a:ext cx="2047875" cy="176339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600" w:type="dxa"/>
          </w:tcPr>
          <w:p>
            <w:pPr>
              <w:spacing w:line="360" w:lineRule="auto"/>
              <w:jc w:val="both"/>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10</w:t>
            </w:r>
          </w:p>
        </w:tc>
        <w:tc>
          <w:tcPr>
            <w:tcW w:w="750" w:type="dxa"/>
          </w:tcPr>
          <w:p>
            <w:pPr>
              <w:spacing w:line="360" w:lineRule="auto"/>
              <w:jc w:val="both"/>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人造石台面</w:t>
            </w:r>
          </w:p>
        </w:tc>
        <w:tc>
          <w:tcPr>
            <w:tcW w:w="6518" w:type="dxa"/>
          </w:tcPr>
          <w:p>
            <w:pPr>
              <w:jc w:val="lef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一体成型仿陶瓷人造大理石台面（平板，不含盆）</w:t>
            </w:r>
            <w:r>
              <w:rPr>
                <w:rFonts w:hint="eastAsia" w:ascii="仿宋" w:hAnsi="仿宋" w:eastAsia="仿宋" w:cs="仿宋"/>
                <w:color w:val="000000" w:themeColor="text1"/>
                <w:sz w:val="21"/>
                <w:szCs w:val="21"/>
                <w14:textFill>
                  <w14:solidFill>
                    <w14:schemeClr w14:val="tx1"/>
                  </w14:solidFill>
                </w14:textFill>
              </w:rPr>
              <w:t>优质模具浇注一体成型人造石台面，台面设计有40mm后挡水和洗手溅出防污染沉降区。台面背面采用加筋设计，确保台面不变型。厚度不低于30mm，洗手盆规格不小于4</w:t>
            </w:r>
            <w:r>
              <w:rPr>
                <w:rFonts w:ascii="仿宋" w:hAnsi="仿宋" w:eastAsia="仿宋" w:cs="仿宋"/>
                <w:color w:val="000000" w:themeColor="text1"/>
                <w:sz w:val="21"/>
                <w:szCs w:val="21"/>
                <w14:textFill>
                  <w14:solidFill>
                    <w14:schemeClr w14:val="tx1"/>
                  </w14:solidFill>
                </w14:textFill>
              </w:rPr>
              <w:t>1</w:t>
            </w:r>
            <w:r>
              <w:rPr>
                <w:rFonts w:hint="eastAsia" w:ascii="仿宋" w:hAnsi="仿宋" w:eastAsia="仿宋" w:cs="仿宋"/>
                <w:color w:val="000000" w:themeColor="text1"/>
                <w:sz w:val="21"/>
                <w:szCs w:val="21"/>
                <w14:textFill>
                  <w14:solidFill>
                    <w14:schemeClr w14:val="tx1"/>
                  </w14:solidFill>
                </w14:textFill>
              </w:rPr>
              <w:t>0mm*300mm*220mm，洗手盆区域不小于</w:t>
            </w:r>
            <w:r>
              <w:rPr>
                <w:rFonts w:hint="eastAsia" w:ascii="仿宋" w:hAnsi="仿宋" w:eastAsia="仿宋" w:cs="仿宋"/>
                <w:color w:val="000000" w:themeColor="text1"/>
                <w:sz w:val="21"/>
                <w:szCs w:val="21"/>
                <w:lang w:eastAsia="zh-CN"/>
                <w14:textFill>
                  <w14:solidFill>
                    <w14:schemeClr w14:val="tx1"/>
                  </w14:solidFill>
                </w14:textFill>
              </w:rPr>
              <w:t>6</w:t>
            </w:r>
            <w:r>
              <w:rPr>
                <w:rFonts w:ascii="仿宋" w:hAnsi="仿宋" w:eastAsia="仿宋" w:cs="仿宋"/>
                <w:color w:val="000000" w:themeColor="text1"/>
                <w:sz w:val="21"/>
                <w:szCs w:val="21"/>
                <w:lang w:eastAsia="zh-CN"/>
                <w14:textFill>
                  <w14:solidFill>
                    <w14:schemeClr w14:val="tx1"/>
                  </w14:solidFill>
                </w14:textFill>
              </w:rPr>
              <w:t>4</w:t>
            </w:r>
            <w:r>
              <w:rPr>
                <w:rFonts w:hint="eastAsia" w:ascii="仿宋" w:hAnsi="仿宋" w:eastAsia="仿宋" w:cs="仿宋"/>
                <w:color w:val="000000" w:themeColor="text1"/>
                <w:sz w:val="21"/>
                <w:szCs w:val="21"/>
                <w14:textFill>
                  <w14:solidFill>
                    <w14:schemeClr w14:val="tx1"/>
                  </w14:solidFill>
                </w14:textFill>
              </w:rPr>
              <w:t>0mm*</w:t>
            </w:r>
            <w:r>
              <w:rPr>
                <w:rFonts w:ascii="仿宋" w:hAnsi="仿宋" w:eastAsia="仿宋" w:cs="仿宋"/>
                <w:color w:val="000000" w:themeColor="text1"/>
                <w:sz w:val="21"/>
                <w:szCs w:val="21"/>
                <w14:textFill>
                  <w14:solidFill>
                    <w14:schemeClr w14:val="tx1"/>
                  </w14:solidFill>
                </w14:textFill>
              </w:rPr>
              <w:t>46</w:t>
            </w:r>
            <w:r>
              <w:rPr>
                <w:rFonts w:hint="eastAsia" w:ascii="仿宋" w:hAnsi="仿宋" w:eastAsia="仿宋" w:cs="仿宋"/>
                <w:color w:val="000000" w:themeColor="text1"/>
                <w:sz w:val="21"/>
                <w:szCs w:val="21"/>
                <w14:textFill>
                  <w14:solidFill>
                    <w14:schemeClr w14:val="tx1"/>
                  </w14:solidFill>
                </w14:textFill>
              </w:rPr>
              <w:t>0mm范围内设计为感控沉降区，防止洗手水溅出后外流污染台面。台面采用进口仿陶瓷特殊材料涂层后，经过烤窑烘烤使表面洁净、平滑、高密度抗耐磨，防污渍、不易划伤，台面耐酸碱和碘酒的浸泡，不粘色、易清洁、消毒，台面永久不变色等优点。</w:t>
            </w:r>
          </w:p>
          <w:p>
            <w:pPr>
              <w:jc w:val="left"/>
              <w:rPr>
                <w:rFonts w:ascii="仿宋" w:hAnsi="仿宋" w:eastAsia="仿宋" w:cs="仿宋"/>
                <w:color w:val="000000" w:themeColor="text1"/>
                <w:sz w:val="21"/>
                <w:szCs w:val="21"/>
                <w:lang w:eastAsia="zh-CN"/>
                <w14:textFill>
                  <w14:solidFill>
                    <w14:schemeClr w14:val="tx1"/>
                  </w14:solidFill>
                </w14:textFill>
              </w:rPr>
            </w:pPr>
          </w:p>
        </w:tc>
        <w:tc>
          <w:tcPr>
            <w:tcW w:w="709"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w:t>
            </w:r>
          </w:p>
        </w:tc>
        <w:tc>
          <w:tcPr>
            <w:tcW w:w="1435" w:type="dxa"/>
            <w:vAlign w:val="center"/>
          </w:tcPr>
          <w:p>
            <w:pPr>
              <w:spacing w:line="360" w:lineRule="auto"/>
              <w:ind w:left="-240" w:leftChars="-1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1500</w:t>
            </w:r>
            <w:r>
              <w:rPr>
                <w:rFonts w:hint="eastAsia"/>
                <w:color w:val="000000" w:themeColor="text1"/>
                <w14:textFill>
                  <w14:solidFill>
                    <w14:schemeClr w14:val="tx1"/>
                  </w14:solidFill>
                </w14:textFill>
              </w:rPr>
              <w:t>元/</w:t>
            </w:r>
            <w:r>
              <w:rPr>
                <w:rFonts w:hint="eastAsia"/>
                <w:color w:val="000000" w:themeColor="text1"/>
                <w:lang w:val="en-US" w:eastAsia="zh-CN"/>
                <w14:textFill>
                  <w14:solidFill>
                    <w14:schemeClr w14:val="tx1"/>
                  </w14:solidFill>
                </w14:textFill>
              </w:rPr>
              <w:t>米</w:t>
            </w:r>
          </w:p>
        </w:tc>
        <w:tc>
          <w:tcPr>
            <w:tcW w:w="525" w:type="dxa"/>
            <w:vAlign w:val="center"/>
          </w:tcPr>
          <w:p>
            <w:pPr>
              <w:spacing w:line="360" w:lineRule="auto"/>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米</w:t>
            </w:r>
          </w:p>
        </w:tc>
        <w:tc>
          <w:tcPr>
            <w:tcW w:w="1013" w:type="dxa"/>
          </w:tcPr>
          <w:p>
            <w:pPr>
              <w:spacing w:line="360" w:lineRule="auto"/>
              <w:jc w:val="both"/>
              <w:rPr>
                <w:color w:val="000000" w:themeColor="text1"/>
                <w14:textFill>
                  <w14:solidFill>
                    <w14:schemeClr w14:val="tx1"/>
                  </w14:solidFill>
                </w14:textFill>
              </w:rPr>
            </w:pPr>
          </w:p>
        </w:tc>
        <w:tc>
          <w:tcPr>
            <w:tcW w:w="2782" w:type="dxa"/>
            <w:vAlign w:val="center"/>
          </w:tcPr>
          <w:p>
            <w:pPr>
              <w:spacing w:line="360" w:lineRule="auto"/>
              <w:jc w:val="center"/>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drawing>
                <wp:inline distT="0" distB="0" distL="114300" distR="114300">
                  <wp:extent cx="1544320" cy="996950"/>
                  <wp:effectExtent l="0" t="0" r="17780" b="12700"/>
                  <wp:docPr id="14" name="Picture 7" descr="C:\Users\kzg_1980\AppData\Roaming\Tencent\Users\122271534\QQ\WinTemp\RichOle\ZR895T{@)ETFIX5Z3GHZ4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descr="C:\Users\kzg_1980\AppData\Roaming\Tencent\Users\122271534\QQ\WinTemp\RichOle\ZR895T{@)ETFIX5Z3GHZ476.png"/>
                          <pic:cNvPicPr>
                            <a:picLocks noChangeAspect="1"/>
                          </pic:cNvPicPr>
                        </pic:nvPicPr>
                        <pic:blipFill>
                          <a:blip r:embed="rId14" cstate="print"/>
                          <a:stretch>
                            <a:fillRect/>
                          </a:stretch>
                        </pic:blipFill>
                        <pic:spPr>
                          <a:xfrm>
                            <a:off x="0" y="0"/>
                            <a:ext cx="1544320" cy="99695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600" w:type="dxa"/>
          </w:tcPr>
          <w:p>
            <w:pPr>
              <w:spacing w:line="360" w:lineRule="auto"/>
              <w:jc w:val="both"/>
              <w:rPr>
                <w:rFonts w:ascii="仿宋" w:hAnsi="仿宋" w:eastAsia="仿宋" w:cs="仿宋"/>
                <w:lang w:eastAsia="zh-CN"/>
              </w:rPr>
            </w:pPr>
            <w:r>
              <w:rPr>
                <w:rFonts w:hint="eastAsia" w:ascii="仿宋" w:hAnsi="仿宋" w:eastAsia="仿宋" w:cs="仿宋"/>
                <w:lang w:eastAsia="zh-CN"/>
              </w:rPr>
              <w:t>11</w:t>
            </w:r>
          </w:p>
        </w:tc>
        <w:tc>
          <w:tcPr>
            <w:tcW w:w="750" w:type="dxa"/>
          </w:tcPr>
          <w:p>
            <w:pPr>
              <w:spacing w:line="360" w:lineRule="auto"/>
              <w:jc w:val="both"/>
              <w:rPr>
                <w:rFonts w:ascii="仿宋" w:hAnsi="仿宋" w:eastAsia="仿宋" w:cs="仿宋"/>
                <w:lang w:eastAsia="zh-CN"/>
              </w:rPr>
            </w:pPr>
            <w:r>
              <w:rPr>
                <w:rFonts w:hint="eastAsia" w:ascii="仿宋" w:hAnsi="仿宋" w:eastAsia="仿宋" w:cs="仿宋"/>
                <w:lang w:eastAsia="zh-CN"/>
              </w:rPr>
              <w:t>微晶石台面</w:t>
            </w:r>
          </w:p>
        </w:tc>
        <w:tc>
          <w:tcPr>
            <w:tcW w:w="6518" w:type="dxa"/>
          </w:tcPr>
          <w:p>
            <w:pPr>
              <w:jc w:val="left"/>
              <w:rPr>
                <w:sz w:val="21"/>
                <w:szCs w:val="21"/>
                <w:lang w:eastAsia="zh-CN"/>
              </w:rPr>
            </w:pPr>
            <w:r>
              <w:rPr>
                <w:rFonts w:hint="eastAsia" w:ascii="仿宋" w:hAnsi="仿宋" w:eastAsia="仿宋" w:cs="仿宋"/>
                <w:sz w:val="21"/>
                <w:szCs w:val="21"/>
              </w:rPr>
              <w:t>厚度18mm，表面光洁、高密度纳米级台面。台面表面洁净平滑、高密度抗耐磨、防污渍、耐腐、不易划伤。台面耐酸碱和碘酒浸泡，不粘色、易清洁、不染色、不渗透着色和耐消毒液擦洗，台面永久不变色，配置中美合资高级不锈钢下挂式洗手</w:t>
            </w:r>
            <w:r>
              <w:rPr>
                <w:rFonts w:hint="eastAsia" w:ascii="仿宋" w:hAnsi="仿宋" w:eastAsia="仿宋" w:cs="仿宋"/>
                <w:color w:val="000000" w:themeColor="text1"/>
                <w:sz w:val="21"/>
                <w:szCs w:val="21"/>
                <w14:textFill>
                  <w14:solidFill>
                    <w14:schemeClr w14:val="tx1"/>
                  </w14:solidFill>
                </w14:textFill>
              </w:rPr>
              <w:t>盆。规格不小于</w:t>
            </w:r>
            <w:r>
              <w:rPr>
                <w:rFonts w:hint="eastAsia" w:ascii="仿宋" w:hAnsi="仿宋" w:eastAsia="仿宋" w:cs="仿宋"/>
                <w:sz w:val="21"/>
                <w:szCs w:val="21"/>
              </w:rPr>
              <w:t>420mm*380mm*180mm（可根据需求定制）。</w:t>
            </w:r>
          </w:p>
        </w:tc>
        <w:tc>
          <w:tcPr>
            <w:tcW w:w="709" w:type="dxa"/>
            <w:vAlign w:val="center"/>
          </w:tcPr>
          <w:p>
            <w:pPr>
              <w:spacing w:line="360" w:lineRule="auto"/>
              <w:ind w:left="-240" w:leftChars="-100"/>
              <w:jc w:val="center"/>
              <w:rPr>
                <w:rFonts w:ascii="仿宋" w:hAnsi="仿宋" w:eastAsia="仿宋" w:cs="仿宋"/>
                <w:lang w:eastAsia="zh-CN"/>
              </w:rPr>
            </w:pPr>
            <w:r>
              <w:rPr>
                <w:rFonts w:hint="eastAsia" w:ascii="仿宋" w:hAnsi="仿宋" w:eastAsia="仿宋" w:cs="仿宋"/>
                <w:lang w:eastAsia="zh-CN"/>
              </w:rPr>
              <w:t>3</w:t>
            </w:r>
          </w:p>
        </w:tc>
        <w:tc>
          <w:tcPr>
            <w:tcW w:w="1435" w:type="dxa"/>
            <w:vAlign w:val="center"/>
          </w:tcPr>
          <w:p>
            <w:pPr>
              <w:spacing w:line="360" w:lineRule="auto"/>
              <w:ind w:left="-240" w:leftChars="-100"/>
              <w:jc w:val="center"/>
              <w:rPr>
                <w:rFonts w:ascii="仿宋" w:hAnsi="仿宋" w:eastAsia="仿宋" w:cs="仿宋"/>
                <w:lang w:eastAsia="zh-CN"/>
              </w:rPr>
            </w:pPr>
            <w:r>
              <w:rPr>
                <w:rFonts w:hint="eastAsia" w:ascii="仿宋" w:hAnsi="仿宋" w:eastAsia="仿宋" w:cs="仿宋"/>
                <w:lang w:eastAsia="zh-CN"/>
              </w:rPr>
              <w:t>1600</w:t>
            </w:r>
            <w:r>
              <w:rPr>
                <w:rFonts w:hint="eastAsia"/>
                <w:color w:val="000000" w:themeColor="text1"/>
                <w14:textFill>
                  <w14:solidFill>
                    <w14:schemeClr w14:val="tx1"/>
                  </w14:solidFill>
                </w14:textFill>
              </w:rPr>
              <w:t>元/</w:t>
            </w:r>
            <w:r>
              <w:rPr>
                <w:rFonts w:hint="eastAsia"/>
                <w:color w:val="000000" w:themeColor="text1"/>
                <w:lang w:val="en-US" w:eastAsia="zh-CN"/>
                <w14:textFill>
                  <w14:solidFill>
                    <w14:schemeClr w14:val="tx1"/>
                  </w14:solidFill>
                </w14:textFill>
              </w:rPr>
              <w:t>米</w:t>
            </w:r>
          </w:p>
        </w:tc>
        <w:tc>
          <w:tcPr>
            <w:tcW w:w="525" w:type="dxa"/>
            <w:vAlign w:val="center"/>
          </w:tcPr>
          <w:p>
            <w:pPr>
              <w:spacing w:line="360" w:lineRule="auto"/>
              <w:jc w:val="center"/>
              <w:rPr>
                <w:rFonts w:ascii="仿宋" w:hAnsi="仿宋" w:eastAsia="仿宋" w:cs="仿宋"/>
                <w:lang w:eastAsia="zh-CN"/>
              </w:rPr>
            </w:pPr>
            <w:r>
              <w:rPr>
                <w:rFonts w:hint="eastAsia" w:ascii="仿宋" w:hAnsi="仿宋" w:eastAsia="仿宋" w:cs="仿宋"/>
                <w:lang w:eastAsia="zh-CN"/>
              </w:rPr>
              <w:t>米</w:t>
            </w:r>
          </w:p>
        </w:tc>
        <w:tc>
          <w:tcPr>
            <w:tcW w:w="1013" w:type="dxa"/>
          </w:tcPr>
          <w:p>
            <w:pPr>
              <w:spacing w:line="360" w:lineRule="auto"/>
              <w:jc w:val="both"/>
            </w:pPr>
          </w:p>
        </w:tc>
        <w:tc>
          <w:tcPr>
            <w:tcW w:w="2782" w:type="dxa"/>
            <w:vAlign w:val="center"/>
          </w:tcPr>
          <w:p>
            <w:pPr>
              <w:spacing w:line="360" w:lineRule="auto"/>
              <w:jc w:val="center"/>
              <w:rPr>
                <w:lang w:eastAsia="zh-CN"/>
              </w:rPr>
            </w:pPr>
            <w:r>
              <w:rPr>
                <w:lang w:eastAsia="zh-CN"/>
              </w:rPr>
              <w:drawing>
                <wp:inline distT="0" distB="0" distL="114300" distR="114300">
                  <wp:extent cx="1409065" cy="1417955"/>
                  <wp:effectExtent l="0" t="0" r="635" b="10795"/>
                  <wp:docPr id="15" name="Picture 12" descr="C:\Users\kzg_1980\AppData\Roaming\Tencent\Users\122271534\QQ\WinTemp\RichOle\(CPRDFE)(UW)C`A5F7]43X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2" descr="C:\Users\kzg_1980\AppData\Roaming\Tencent\Users\122271534\QQ\WinTemp\RichOle\(CPRDFE)(UW)C`A5F7]43XQ.png"/>
                          <pic:cNvPicPr>
                            <a:picLocks noChangeAspect="1"/>
                          </pic:cNvPicPr>
                        </pic:nvPicPr>
                        <pic:blipFill>
                          <a:blip r:embed="rId15" cstate="print"/>
                          <a:stretch>
                            <a:fillRect/>
                          </a:stretch>
                        </pic:blipFill>
                        <pic:spPr>
                          <a:xfrm>
                            <a:off x="0" y="0"/>
                            <a:ext cx="1409065" cy="1417955"/>
                          </a:xfrm>
                          <a:prstGeom prst="rect">
                            <a:avLst/>
                          </a:prstGeom>
                          <a:noFill/>
                          <a:ln w="9525">
                            <a:noFill/>
                          </a:ln>
                        </pic:spPr>
                      </pic:pic>
                    </a:graphicData>
                  </a:graphic>
                </wp:inline>
              </w:drawing>
            </w:r>
          </w:p>
        </w:tc>
      </w:tr>
    </w:tbl>
    <w:p/>
    <w:p>
      <w:pPr>
        <w:tabs>
          <w:tab w:val="left" w:pos="5130"/>
        </w:tabs>
        <w:spacing w:line="360" w:lineRule="auto"/>
        <w:rPr>
          <w:rFonts w:hint="eastAsia" w:ascii="宋体" w:hAnsi="宋体"/>
          <w:lang w:eastAsia="zh-CN"/>
        </w:rPr>
      </w:pPr>
      <w:r>
        <w:rPr>
          <w:rFonts w:hint="eastAsia" w:ascii="宋体" w:hAnsi="宋体"/>
        </w:rPr>
        <w:t>备注：1、</w:t>
      </w:r>
      <w:r>
        <w:rPr>
          <w:rFonts w:hint="eastAsia" w:ascii="宋体" w:hAnsi="宋体"/>
          <w:b/>
          <w:bCs/>
        </w:rPr>
        <w:t>本项目</w:t>
      </w:r>
      <w:r>
        <w:rPr>
          <w:rFonts w:hint="eastAsia" w:ascii="宋体" w:hAnsi="宋体"/>
          <w:b/>
          <w:bCs/>
          <w:lang w:val="en-US" w:eastAsia="zh-CN"/>
        </w:rPr>
        <w:t>评标采用综合评分法</w:t>
      </w:r>
      <w:r>
        <w:rPr>
          <w:rFonts w:hint="eastAsia" w:ascii="宋体" w:hAnsi="宋体"/>
          <w:b/>
          <w:bCs/>
          <w:lang w:eastAsia="zh-CN"/>
        </w:rPr>
        <w:t>。</w:t>
      </w:r>
      <w:r>
        <w:rPr>
          <w:rFonts w:hint="eastAsia" w:ascii="宋体" w:hAnsi="宋体"/>
        </w:rPr>
        <w:t>表中所列数量为按照现有情况预估，仅作为招标过程（投标人报价参考，招标价格评分及招标代理费计算）使用，预估数量不作为</w:t>
      </w:r>
      <w:r>
        <w:rPr>
          <w:rFonts w:hint="eastAsia" w:ascii="宋体" w:hAnsi="宋体"/>
          <w:highlight w:val="none"/>
          <w:lang w:val="en-US" w:eastAsia="zh-CN"/>
        </w:rPr>
        <w:t>两年</w:t>
      </w:r>
      <w:r>
        <w:rPr>
          <w:rFonts w:hint="eastAsia" w:ascii="宋体" w:hAnsi="宋体"/>
        </w:rPr>
        <w:t>采购限量，最终数量以实际结算为准。中标供应商应理解并充分考虑因实际下单数量低于预估数量但结算单价不作调整的因素和风险。</w:t>
      </w:r>
    </w:p>
    <w:p>
      <w:pPr>
        <w:tabs>
          <w:tab w:val="left" w:pos="5130"/>
        </w:tabs>
        <w:spacing w:line="360" w:lineRule="auto"/>
        <w:ind w:firstLine="482" w:firstLineChars="200"/>
        <w:rPr>
          <w:rFonts w:ascii="宋体" w:hAnsi="宋体"/>
          <w:b/>
        </w:rPr>
      </w:pPr>
      <w:r>
        <w:rPr>
          <w:rFonts w:hint="eastAsia" w:ascii="宋体" w:hAnsi="宋体"/>
          <w:b/>
          <w:lang w:eastAsia="zh-CN"/>
        </w:rPr>
        <w:t>2</w:t>
      </w:r>
      <w:r>
        <w:rPr>
          <w:rFonts w:hint="eastAsia" w:ascii="宋体" w:hAnsi="宋体"/>
          <w:b/>
        </w:rPr>
        <w:t>、投标人应对附件中所有的分项做出报价，报价不得高于最高单位限价，否则视为无效报价。</w:t>
      </w:r>
    </w:p>
    <w:p>
      <w:pPr>
        <w:tabs>
          <w:tab w:val="left" w:pos="5130"/>
        </w:tabs>
        <w:spacing w:line="360" w:lineRule="auto"/>
        <w:ind w:firstLine="480" w:firstLineChars="200"/>
        <w:rPr>
          <w:rFonts w:hint="eastAsia" w:ascii="宋体" w:hAnsi="宋体"/>
        </w:rPr>
        <w:sectPr>
          <w:pgSz w:w="16838" w:h="11906" w:orient="landscape"/>
          <w:pgMar w:top="1800" w:right="1440" w:bottom="1800" w:left="1440" w:header="851" w:footer="992" w:gutter="0"/>
          <w:cols w:space="425" w:num="1"/>
          <w:docGrid w:type="lines" w:linePitch="312" w:charSpace="0"/>
        </w:sectPr>
      </w:pPr>
      <w:r>
        <w:rPr>
          <w:rFonts w:hint="eastAsia" w:ascii="宋体" w:hAnsi="宋体"/>
          <w:lang w:eastAsia="zh-CN"/>
        </w:rPr>
        <w:t>3</w:t>
      </w:r>
      <w:r>
        <w:rPr>
          <w:rFonts w:hint="eastAsia" w:ascii="宋体" w:hAnsi="宋体"/>
        </w:rPr>
        <w:t>、实际合同执行过程中，可能会存在属于该同类产品，但不在此次招标范围内的项目，采购人考虑中标供应商为招标评选出的优质供应商，项目外的报价需经采购人审核同意后下单，若发现中标供应商报价超过市场行情价20%及以上三次的，取消</w:t>
      </w:r>
      <w:r>
        <w:rPr>
          <w:rFonts w:hint="eastAsia" w:ascii="宋体" w:hAnsi="宋体"/>
          <w:lang w:val="en-US" w:eastAsia="zh-CN"/>
        </w:rPr>
        <w:t>供应商资格</w:t>
      </w:r>
      <w:r>
        <w:rPr>
          <w:rFonts w:hint="eastAsia" w:ascii="宋体" w:hAnsi="宋体"/>
        </w:rPr>
        <w:t>。</w:t>
      </w:r>
    </w:p>
    <w:p>
      <w:pPr>
        <w:pStyle w:val="3"/>
        <w:pageBreakBefore/>
        <w:numPr>
          <w:ilvl w:val="1"/>
          <w:numId w:val="0"/>
        </w:numPr>
        <w:spacing w:before="120" w:beforeLines="50" w:after="120" w:afterLines="50" w:line="240" w:lineRule="auto"/>
        <w:ind w:leftChars="0"/>
        <w:jc w:val="both"/>
        <w:rPr>
          <w:rFonts w:hint="eastAsia" w:ascii="宋体" w:hAnsi="宋体"/>
          <w:color w:val="000000"/>
          <w:sz w:val="24"/>
          <w:szCs w:val="24"/>
        </w:rPr>
      </w:pPr>
      <w:r>
        <w:rPr>
          <w:rFonts w:hint="eastAsia" w:ascii="宋体" w:hAnsi="宋体"/>
          <w:color w:val="000000"/>
          <w:sz w:val="24"/>
          <w:szCs w:val="24"/>
        </w:rPr>
        <w:t>供应商须知前附表：评审方法、评审标准及确定成交供应商的方式</w:t>
      </w:r>
    </w:p>
    <w:tbl>
      <w:tblPr>
        <w:tblStyle w:val="9"/>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8" w:type="dxa"/>
            <w:tcBorders>
              <w:top w:val="single" w:color="auto" w:sz="4" w:space="0"/>
              <w:left w:val="single" w:color="auto" w:sz="4" w:space="0"/>
              <w:bottom w:val="single" w:color="auto" w:sz="4" w:space="0"/>
              <w:right w:val="single" w:color="auto" w:sz="4" w:space="0"/>
            </w:tcBorders>
            <w:noWrap w:val="0"/>
            <w:vAlign w:val="top"/>
          </w:tcPr>
          <w:p>
            <w:pPr>
              <w:pStyle w:val="4"/>
              <w:snapToGrid w:val="0"/>
              <w:spacing w:line="420" w:lineRule="atLeast"/>
              <w:ind w:left="288" w:leftChars="120" w:firstLine="12" w:firstLineChars="5"/>
              <w:rPr>
                <w:rFonts w:ascii="宋体" w:hAnsi="宋体"/>
                <w:b/>
                <w:color w:val="000000"/>
                <w:sz w:val="24"/>
                <w:szCs w:val="24"/>
              </w:rPr>
            </w:pPr>
            <w:r>
              <w:rPr>
                <w:rFonts w:hint="eastAsia" w:ascii="宋体" w:hAnsi="宋体"/>
                <w:b/>
                <w:color w:val="000000"/>
                <w:sz w:val="24"/>
                <w:szCs w:val="24"/>
              </w:rPr>
              <w:t>一、评审方法：</w:t>
            </w:r>
          </w:p>
          <w:p>
            <w:pPr>
              <w:pStyle w:val="4"/>
              <w:snapToGrid w:val="0"/>
              <w:spacing w:before="60" w:beforeLines="25" w:after="60" w:afterLines="25" w:line="440" w:lineRule="exact"/>
              <w:ind w:left="288" w:leftChars="120" w:firstLine="0"/>
              <w:rPr>
                <w:rFonts w:ascii="宋体" w:hAnsi="宋体"/>
                <w:color w:val="000000"/>
                <w:sz w:val="24"/>
                <w:szCs w:val="24"/>
              </w:rPr>
            </w:pPr>
            <w:r>
              <w:rPr>
                <w:rFonts w:ascii="宋体" w:hAnsi="宋体"/>
                <w:color w:val="000000"/>
                <w:sz w:val="24"/>
                <w:szCs w:val="24"/>
              </w:rPr>
              <w:fldChar w:fldCharType="begin"/>
            </w:r>
            <w:r>
              <w:rPr>
                <w:rFonts w:ascii="宋体" w:hAnsi="宋体"/>
                <w:color w:val="000000"/>
                <w:sz w:val="24"/>
                <w:szCs w:val="24"/>
              </w:rPr>
              <w:instrText xml:space="preserve"> </w:instrText>
            </w:r>
            <w:r>
              <w:rPr>
                <w:rFonts w:hint="eastAsia" w:ascii="宋体" w:hAnsi="宋体"/>
                <w:color w:val="000000"/>
                <w:sz w:val="24"/>
                <w:szCs w:val="24"/>
              </w:rPr>
              <w:instrText xml:space="preserve">eq \o\ac(□,</w:instrText>
            </w:r>
            <w:r>
              <w:rPr>
                <w:rFonts w:hint="eastAsia" w:ascii="宋体" w:hAnsi="宋体"/>
                <w:color w:val="000000"/>
                <w:position w:val="2"/>
                <w:sz w:val="16"/>
                <w:szCs w:val="24"/>
              </w:rPr>
              <w:instrText xml:space="preserve">√</w:instrText>
            </w:r>
            <w:r>
              <w:rPr>
                <w:rFonts w:hint="eastAsia" w:ascii="宋体" w:hAnsi="宋体"/>
                <w:color w:val="000000"/>
                <w:sz w:val="24"/>
                <w:szCs w:val="24"/>
              </w:rPr>
              <w:instrText xml:space="preserve">)</w:instrText>
            </w:r>
            <w:r>
              <w:rPr>
                <w:rFonts w:ascii="宋体" w:hAnsi="宋体"/>
                <w:color w:val="000000"/>
                <w:sz w:val="24"/>
                <w:szCs w:val="24"/>
              </w:rPr>
              <w:fldChar w:fldCharType="end"/>
            </w:r>
            <w:r>
              <w:rPr>
                <w:rFonts w:hint="eastAsia" w:ascii="宋体" w:hAnsi="宋体"/>
                <w:color w:val="000000"/>
                <w:sz w:val="24"/>
                <w:szCs w:val="24"/>
              </w:rPr>
              <w:t xml:space="preserve"> 综合评分法  □ 最低评审价法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4" w:hRule="atLeast"/>
        </w:trPr>
        <w:tc>
          <w:tcPr>
            <w:tcW w:w="8998" w:type="dxa"/>
            <w:tcBorders>
              <w:top w:val="single" w:color="auto" w:sz="4" w:space="0"/>
              <w:left w:val="single" w:color="auto" w:sz="4" w:space="0"/>
              <w:bottom w:val="single" w:color="auto" w:sz="4" w:space="0"/>
              <w:right w:val="single" w:color="auto" w:sz="4" w:space="0"/>
            </w:tcBorders>
            <w:noWrap w:val="0"/>
            <w:vAlign w:val="top"/>
          </w:tcPr>
          <w:p>
            <w:pPr>
              <w:adjustRightInd w:val="0"/>
              <w:spacing w:line="360" w:lineRule="auto"/>
              <w:ind w:firstLine="456"/>
              <w:rPr>
                <w:rFonts w:hint="eastAsia" w:ascii="宋体" w:hAnsi="宋体"/>
                <w:b/>
                <w:color w:val="000000"/>
                <w:sz w:val="24"/>
              </w:rPr>
            </w:pPr>
            <w:r>
              <w:rPr>
                <w:rFonts w:hint="eastAsia" w:ascii="宋体" w:hAnsi="宋体"/>
                <w:b/>
                <w:color w:val="000000"/>
                <w:sz w:val="24"/>
              </w:rPr>
              <w:t>二、评审标准</w:t>
            </w:r>
          </w:p>
          <w:p>
            <w:pPr>
              <w:adjustRightInd w:val="0"/>
              <w:ind w:firstLine="456"/>
              <w:rPr>
                <w:rFonts w:hint="eastAsia" w:ascii="方正正中黑简体" w:hAnsi="宋体" w:eastAsia="方正正中黑简体"/>
                <w:b/>
                <w:color w:val="000000"/>
                <w:sz w:val="24"/>
              </w:rPr>
            </w:pPr>
            <w:r>
              <w:rPr>
                <w:rFonts w:hint="eastAsia" w:ascii="方正正中黑简体" w:hAnsi="宋体" w:eastAsia="方正正中黑简体"/>
                <w:b/>
                <w:color w:val="000000"/>
                <w:sz w:val="24"/>
              </w:rPr>
              <w:t>（一）具体的评审标准</w:t>
            </w:r>
          </w:p>
          <w:p>
            <w:pPr>
              <w:adjustRightInd w:val="0"/>
              <w:ind w:firstLine="456"/>
              <w:rPr>
                <w:rFonts w:hint="eastAsia" w:ascii="宋体" w:hAnsi="宋体"/>
                <w:color w:val="000000"/>
                <w:sz w:val="24"/>
              </w:rPr>
            </w:pPr>
            <w:r>
              <w:rPr>
                <w:rFonts w:hint="eastAsia" w:ascii="宋体" w:hAnsi="宋体"/>
                <w:color w:val="000000"/>
                <w:sz w:val="24"/>
              </w:rPr>
              <w:t>磋商小组将采用综合评分法对提交最后报价的合格供应商的响应文件和最后报价进行综合评分。如果磋商项目有多个合同包，则按相应合同包分别进行，具体综合评分的标准和方法如下：</w:t>
            </w:r>
          </w:p>
          <w:p>
            <w:pPr>
              <w:adjustRightInd w:val="0"/>
              <w:spacing w:line="360" w:lineRule="auto"/>
              <w:ind w:firstLine="456"/>
              <w:rPr>
                <w:rFonts w:ascii="宋体" w:hAnsi="宋体"/>
                <w:color w:val="000000"/>
                <w:sz w:val="24"/>
              </w:rPr>
            </w:pPr>
            <w:r>
              <w:rPr>
                <w:rStyle w:val="12"/>
                <w:rFonts w:hint="eastAsia" w:ascii="宋体" w:hAnsi="宋体" w:cs="Arial"/>
                <w:color w:val="000000"/>
                <w:sz w:val="24"/>
              </w:rPr>
              <w:t>1.技术分F1</w:t>
            </w:r>
            <w:r>
              <w:rPr>
                <w:rFonts w:hint="eastAsia" w:ascii="宋体" w:hAnsi="宋体"/>
                <w:b/>
                <w:color w:val="000000"/>
                <w:sz w:val="24"/>
              </w:rPr>
              <w:t>（按满分</w:t>
            </w:r>
            <w:r>
              <w:rPr>
                <w:rFonts w:hint="eastAsia" w:ascii="宋体" w:hAnsi="宋体"/>
                <w:b/>
                <w:color w:val="000000"/>
                <w:sz w:val="24"/>
                <w:lang w:val="en-US" w:eastAsia="zh-CN"/>
              </w:rPr>
              <w:t>55</w:t>
            </w:r>
            <w:r>
              <w:rPr>
                <w:rFonts w:hint="eastAsia" w:ascii="宋体" w:hAnsi="宋体"/>
                <w:b/>
                <w:color w:val="000000"/>
                <w:sz w:val="24"/>
              </w:rPr>
              <w:t>分打分）</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40"/>
              <w:gridCol w:w="7398"/>
              <w:gridCol w:w="797"/>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740" w:type="dxa"/>
                  <w:tcBorders>
                    <w:top w:val="single" w:color="auto" w:sz="6" w:space="0"/>
                    <w:left w:val="single" w:color="auto" w:sz="6"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cs="Arial"/>
                      <w:bCs/>
                      <w:color w:val="000000"/>
                      <w:kern w:val="10"/>
                      <w:sz w:val="24"/>
                      <w:szCs w:val="24"/>
                    </w:rPr>
                  </w:pPr>
                  <w:r>
                    <w:rPr>
                      <w:rFonts w:hint="eastAsia" w:cs="Arial"/>
                      <w:bCs/>
                      <w:color w:val="000000"/>
                      <w:kern w:val="10"/>
                      <w:sz w:val="24"/>
                      <w:szCs w:val="24"/>
                    </w:rPr>
                    <w:t>序号</w:t>
                  </w:r>
                </w:p>
              </w:tc>
              <w:tc>
                <w:tcPr>
                  <w:tcW w:w="7398" w:type="dxa"/>
                  <w:tcBorders>
                    <w:top w:val="single" w:color="auto" w:sz="6"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cs="Arial"/>
                      <w:bCs/>
                      <w:color w:val="000000"/>
                      <w:sz w:val="24"/>
                      <w:szCs w:val="24"/>
                    </w:rPr>
                  </w:pPr>
                  <w:r>
                    <w:rPr>
                      <w:rFonts w:hint="eastAsia"/>
                      <w:color w:val="000000"/>
                      <w:sz w:val="24"/>
                      <w:szCs w:val="24"/>
                    </w:rPr>
                    <w:t>评分因素及评分细则</w:t>
                  </w:r>
                </w:p>
              </w:tc>
              <w:tc>
                <w:tcPr>
                  <w:tcW w:w="797" w:type="dxa"/>
                  <w:tcBorders>
                    <w:top w:val="single" w:color="auto" w:sz="6" w:space="0"/>
                    <w:left w:val="single" w:color="auto" w:sz="4"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textAlignment w:val="auto"/>
                    <w:rPr>
                      <w:color w:val="000000"/>
                      <w:sz w:val="24"/>
                      <w:szCs w:val="24"/>
                    </w:rPr>
                  </w:pPr>
                  <w:r>
                    <w:rPr>
                      <w:rFonts w:hint="eastAsia"/>
                      <w:color w:val="000000"/>
                      <w:sz w:val="24"/>
                      <w:szCs w:val="24"/>
                    </w:rPr>
                    <w:t>满分</w:t>
                  </w:r>
                </w:p>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cs="Arial"/>
                      <w:bCs/>
                      <w:color w:val="000000"/>
                      <w:sz w:val="24"/>
                      <w:szCs w:val="24"/>
                    </w:rPr>
                  </w:pPr>
                  <w:r>
                    <w:rPr>
                      <w:rFonts w:hint="eastAsia" w:cs="Arial"/>
                      <w:bCs/>
                      <w:color w:val="000000"/>
                      <w:sz w:val="24"/>
                      <w:szCs w:val="24"/>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hint="eastAsia" w:ascii="宋体" w:hAnsi="宋体"/>
                      <w:color w:val="000000"/>
                      <w:sz w:val="24"/>
                    </w:rPr>
                  </w:pPr>
                  <w:r>
                    <w:rPr>
                      <w:rFonts w:hint="eastAsia" w:ascii="宋体" w:hAnsi="宋体"/>
                      <w:color w:val="000000"/>
                      <w:sz w:val="24"/>
                    </w:rPr>
                    <w:t>1</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根据报价产品的技术指标、性能是否符合磋商文件附件1：“技术参数”共11项技术要求进行评价，每满足一项得4分，满分44分。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20"/>
                    <w:spacing w:line="32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4</w:t>
                  </w:r>
                  <w:r>
                    <w:rPr>
                      <w:rFonts w:hint="eastAsia" w:eastAsia="宋体" w:cs="宋体"/>
                      <w:color w:val="000000"/>
                      <w:kern w:val="0"/>
                      <w:sz w:val="24"/>
                      <w:szCs w:val="24"/>
                      <w:lang w:val="en-US" w:eastAsia="zh-CN" w:bidi="ar-SA"/>
                    </w:rPr>
                    <w:t>4</w:t>
                  </w:r>
                  <w:r>
                    <w:rPr>
                      <w:rFonts w:hint="eastAsia" w:ascii="宋体" w:hAnsi="宋体" w:eastAsia="宋体" w:cs="宋体"/>
                      <w:color w:val="000000"/>
                      <w:kern w:val="0"/>
                      <w:sz w:val="24"/>
                      <w:szCs w:val="24"/>
                      <w:lang w:val="en-US" w:eastAsia="zh-CN" w:bidi="ar-SA"/>
                    </w:rPr>
                    <w:t xml:space="preserve">分 </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hint="eastAsia" w:ascii="宋体" w:hAnsi="宋体"/>
                      <w:color w:val="000000"/>
                      <w:sz w:val="24"/>
                    </w:rPr>
                  </w:pPr>
                  <w:r>
                    <w:rPr>
                      <w:rFonts w:hint="eastAsia" w:ascii="宋体" w:hAnsi="宋体"/>
                      <w:color w:val="000000"/>
                      <w:sz w:val="24"/>
                    </w:rPr>
                    <w:t>2</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eastAsia"/>
                      <w:sz w:val="24"/>
                    </w:rPr>
                  </w:pPr>
                  <w:r>
                    <w:rPr>
                      <w:rFonts w:hint="eastAsia"/>
                      <w:sz w:val="24"/>
                    </w:rPr>
                    <w:t>根据</w:t>
                  </w:r>
                  <w:r>
                    <w:rPr>
                      <w:rFonts w:hint="eastAsia"/>
                      <w:sz w:val="24"/>
                      <w:lang w:val="en-US" w:eastAsia="zh-CN"/>
                    </w:rPr>
                    <w:t>供应商</w:t>
                  </w:r>
                  <w:r>
                    <w:rPr>
                      <w:rFonts w:hint="eastAsia"/>
                      <w:sz w:val="24"/>
                    </w:rPr>
                    <w:t>的现场踏勘调查情况【勘查报告详细完整程度，对本项目的地理环境、科室现状、施工条件等布置了解情况，应对措施阐述完整性、针对性、照片（须提供至少4张完整多角度现场的照片），可用于堆放和施工的空间场地等】进行评价：资料清晰，图片数量，勘查记录篇幅完整详细，具有针对性的得</w:t>
                  </w:r>
                  <w:r>
                    <w:rPr>
                      <w:rFonts w:hint="eastAsia"/>
                      <w:sz w:val="24"/>
                      <w:lang w:val="en-US" w:eastAsia="zh-CN"/>
                    </w:rPr>
                    <w:t>2</w:t>
                  </w:r>
                  <w:r>
                    <w:rPr>
                      <w:rFonts w:hint="eastAsia"/>
                      <w:sz w:val="24"/>
                    </w:rPr>
                    <w:t>分；资料清晰，图片数量，勘查记录篇幅完整详细，但不具有针对性的得</w:t>
                  </w:r>
                  <w:r>
                    <w:rPr>
                      <w:rFonts w:hint="eastAsia"/>
                      <w:sz w:val="24"/>
                      <w:lang w:val="en-US" w:eastAsia="zh-CN"/>
                    </w:rPr>
                    <w:t>1</w:t>
                  </w:r>
                  <w:r>
                    <w:rPr>
                      <w:rFonts w:hint="eastAsia"/>
                      <w:sz w:val="24"/>
                    </w:rPr>
                    <w:t>分；资料模糊不清，内容空泛，缺乏细节的</w:t>
                  </w:r>
                  <w:r>
                    <w:rPr>
                      <w:rFonts w:hint="eastAsia"/>
                      <w:sz w:val="24"/>
                      <w:lang w:val="en-US" w:eastAsia="zh-CN"/>
                    </w:rPr>
                    <w:t>得0分，</w:t>
                  </w:r>
                  <w:r>
                    <w:rPr>
                      <w:rFonts w:hint="eastAsia"/>
                      <w:sz w:val="24"/>
                    </w:rPr>
                    <w:t>未提供相关资料的不得分。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20"/>
                    <w:spacing w:line="320" w:lineRule="exact"/>
                    <w:jc w:val="center"/>
                    <w:rPr>
                      <w:rFonts w:hint="eastAsia"/>
                      <w:bCs/>
                    </w:rPr>
                  </w:pPr>
                  <w:r>
                    <w:rPr>
                      <w:rFonts w:hint="eastAsia"/>
                      <w:bCs/>
                      <w:lang w:val="en-US" w:eastAsia="zh-CN"/>
                    </w:rPr>
                    <w:t>2</w:t>
                  </w:r>
                  <w:r>
                    <w:rPr>
                      <w:rFonts w:hint="eastAsia"/>
                      <w:bCs/>
                    </w:rPr>
                    <w:t xml:space="preserve">分 </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hint="eastAsia" w:ascii="宋体" w:hAnsi="宋体"/>
                      <w:color w:val="000000"/>
                      <w:sz w:val="24"/>
                    </w:rPr>
                  </w:pPr>
                  <w:r>
                    <w:rPr>
                      <w:rFonts w:hint="eastAsia" w:ascii="宋体" w:hAnsi="宋体"/>
                      <w:color w:val="000000"/>
                      <w:sz w:val="24"/>
                    </w:rPr>
                    <w:t>3</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pStyle w:val="20"/>
                    <w:autoSpaceDE w:val="0"/>
                    <w:rPr>
                      <w:rFonts w:hint="eastAsia" w:ascii="宋体" w:hAnsi="宋体" w:cs="宋体"/>
                      <w:kern w:val="0"/>
                      <w:sz w:val="24"/>
                      <w:szCs w:val="24"/>
                      <w:lang w:val="en-US" w:eastAsia="zh-CN" w:bidi="ar-SA"/>
                    </w:rPr>
                  </w:pPr>
                  <w:r>
                    <w:rPr>
                      <w:rFonts w:hint="eastAsia"/>
                      <w:color w:val="auto"/>
                      <w:highlight w:val="none"/>
                      <w:lang w:val="en-US" w:eastAsia="zh-CN"/>
                    </w:rPr>
                    <w:t>根</w:t>
                  </w:r>
                  <w:r>
                    <w:rPr>
                      <w:rFonts w:hint="eastAsia"/>
                      <w:color w:val="auto"/>
                      <w:highlight w:val="none"/>
                    </w:rPr>
                    <w:t>据</w:t>
                  </w:r>
                  <w:r>
                    <w:rPr>
                      <w:rFonts w:hint="eastAsia"/>
                      <w:color w:val="auto"/>
                      <w:highlight w:val="none"/>
                      <w:lang w:val="en-US" w:eastAsia="zh-CN"/>
                    </w:rPr>
                    <w:t>供应商</w:t>
                  </w:r>
                  <w:r>
                    <w:rPr>
                      <w:rFonts w:hint="eastAsia"/>
                      <w:color w:val="auto"/>
                      <w:highlight w:val="none"/>
                    </w:rPr>
                    <w:t>对项目需求分析及详细实施进度计划安排等进行综合评分：分析完整准确、计划切实可行的得</w:t>
                  </w:r>
                  <w:r>
                    <w:rPr>
                      <w:rFonts w:hint="eastAsia"/>
                      <w:color w:val="auto"/>
                      <w:highlight w:val="none"/>
                      <w:lang w:val="en-US" w:eastAsia="zh-CN"/>
                    </w:rPr>
                    <w:t>2</w:t>
                  </w:r>
                  <w:r>
                    <w:rPr>
                      <w:rFonts w:hint="eastAsia"/>
                      <w:color w:val="auto"/>
                      <w:highlight w:val="none"/>
                    </w:rPr>
                    <w:t>分，分析较为完整，基本可行的得</w:t>
                  </w:r>
                  <w:r>
                    <w:rPr>
                      <w:rFonts w:hint="eastAsia"/>
                      <w:color w:val="auto"/>
                      <w:highlight w:val="none"/>
                      <w:lang w:val="en-US" w:eastAsia="zh-CN"/>
                    </w:rPr>
                    <w:t>1</w:t>
                  </w:r>
                  <w:r>
                    <w:rPr>
                      <w:rFonts w:hint="eastAsia"/>
                      <w:color w:val="auto"/>
                      <w:highlight w:val="none"/>
                    </w:rPr>
                    <w:t>分，未提供或不可行的不得分。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20"/>
                    <w:autoSpaceDE w:val="0"/>
                    <w:jc w:val="center"/>
                    <w:rPr>
                      <w:rFonts w:hint="eastAsia" w:ascii="宋体" w:hAnsi="宋体" w:cs="Arial"/>
                      <w:color w:val="auto"/>
                      <w:kern w:val="0"/>
                      <w:sz w:val="24"/>
                      <w:szCs w:val="24"/>
                      <w:highlight w:val="none"/>
                      <w:lang w:val="en-US" w:eastAsia="zh-CN" w:bidi="ar-SA"/>
                    </w:rPr>
                  </w:pPr>
                  <w:r>
                    <w:rPr>
                      <w:rFonts w:hint="eastAsia" w:cs="Arial"/>
                      <w:bCs/>
                      <w:color w:val="auto"/>
                      <w:kern w:val="2"/>
                      <w:highlight w:val="none"/>
                      <w:lang w:val="en-US" w:eastAsia="zh-CN"/>
                    </w:rPr>
                    <w:t>2分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hint="eastAsia" w:ascii="宋体" w:hAnsi="宋体"/>
                      <w:color w:val="000000"/>
                      <w:sz w:val="24"/>
                    </w:rPr>
                  </w:pPr>
                  <w:r>
                    <w:rPr>
                      <w:rFonts w:hint="eastAsia" w:ascii="宋体" w:hAnsi="宋体"/>
                      <w:color w:val="000000"/>
                      <w:sz w:val="24"/>
                    </w:rPr>
                    <w:t>4</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spacing w:before="60" w:beforeLines="25" w:after="60" w:afterLines="25"/>
                    <w:rPr>
                      <w:rFonts w:hint="eastAsia" w:ascii="宋体" w:hAnsi="宋体"/>
                      <w:color w:val="auto"/>
                      <w:kern w:val="2"/>
                      <w:sz w:val="24"/>
                      <w:szCs w:val="24"/>
                      <w:highlight w:val="none"/>
                      <w:lang w:val="en-US" w:eastAsia="zh-CN" w:bidi="ar-SA"/>
                    </w:rPr>
                  </w:pPr>
                  <w:r>
                    <w:rPr>
                      <w:rFonts w:hint="eastAsia" w:ascii="宋体" w:hAnsi="宋体" w:cs="Arial"/>
                      <w:color w:val="auto"/>
                      <w:kern w:val="0"/>
                      <w:sz w:val="24"/>
                      <w:highlight w:val="none"/>
                    </w:rPr>
                    <w:t>根据</w:t>
                  </w:r>
                  <w:r>
                    <w:rPr>
                      <w:rFonts w:hint="eastAsia" w:ascii="宋体" w:hAnsi="宋体" w:cs="Arial"/>
                      <w:color w:val="auto"/>
                      <w:kern w:val="0"/>
                      <w:sz w:val="24"/>
                      <w:highlight w:val="none"/>
                      <w:lang w:val="en-US" w:eastAsia="zh-CN"/>
                    </w:rPr>
                    <w:t>供应商</w:t>
                  </w:r>
                  <w:r>
                    <w:rPr>
                      <w:rFonts w:hint="eastAsia" w:ascii="宋体" w:hAnsi="宋体" w:cs="Arial"/>
                      <w:color w:val="auto"/>
                      <w:kern w:val="0"/>
                      <w:sz w:val="24"/>
                      <w:highlight w:val="none"/>
                    </w:rPr>
                    <w:t>的供货组织方案进行评价：供货组织方案完善合理、切实可行的得</w:t>
                  </w:r>
                  <w:r>
                    <w:rPr>
                      <w:rFonts w:hint="eastAsia" w:ascii="宋体" w:hAnsi="宋体" w:cs="Arial"/>
                      <w:color w:val="auto"/>
                      <w:kern w:val="0"/>
                      <w:sz w:val="24"/>
                      <w:highlight w:val="none"/>
                      <w:lang w:val="en-US" w:eastAsia="zh-CN"/>
                    </w:rPr>
                    <w:t>2</w:t>
                  </w:r>
                  <w:r>
                    <w:rPr>
                      <w:rFonts w:hint="eastAsia" w:ascii="宋体" w:hAnsi="宋体" w:cs="Arial"/>
                      <w:color w:val="auto"/>
                      <w:kern w:val="0"/>
                      <w:sz w:val="24"/>
                      <w:highlight w:val="none"/>
                    </w:rPr>
                    <w:t>分，无明显缺漏项、基本可行的得</w:t>
                  </w:r>
                  <w:r>
                    <w:rPr>
                      <w:rFonts w:hint="eastAsia" w:ascii="宋体" w:hAnsi="宋体" w:cs="Arial"/>
                      <w:color w:val="auto"/>
                      <w:kern w:val="0"/>
                      <w:sz w:val="24"/>
                      <w:highlight w:val="none"/>
                      <w:lang w:val="en-US" w:eastAsia="zh-CN"/>
                    </w:rPr>
                    <w:t>1</w:t>
                  </w:r>
                  <w:r>
                    <w:rPr>
                      <w:rFonts w:hint="eastAsia" w:ascii="宋体" w:hAnsi="宋体" w:cs="Arial"/>
                      <w:color w:val="auto"/>
                      <w:kern w:val="0"/>
                      <w:sz w:val="24"/>
                      <w:highlight w:val="none"/>
                    </w:rPr>
                    <w:t>分，有明显缺漏项或可行性较差的得</w:t>
                  </w:r>
                  <w:r>
                    <w:rPr>
                      <w:rFonts w:hint="eastAsia" w:ascii="宋体" w:hAnsi="宋体" w:cs="Arial"/>
                      <w:color w:val="auto"/>
                      <w:kern w:val="0"/>
                      <w:sz w:val="24"/>
                      <w:highlight w:val="none"/>
                      <w:lang w:val="en-US" w:eastAsia="zh-CN"/>
                    </w:rPr>
                    <w:t>0</w:t>
                  </w:r>
                  <w:r>
                    <w:rPr>
                      <w:rFonts w:hint="eastAsia" w:ascii="宋体" w:hAnsi="宋体" w:cs="Arial"/>
                      <w:color w:val="auto"/>
                      <w:kern w:val="0"/>
                      <w:sz w:val="24"/>
                      <w:highlight w:val="none"/>
                    </w:rPr>
                    <w:t>分。未提供相关材料不得分。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spacing w:before="60" w:beforeLines="25" w:after="60" w:afterLines="25" w:line="400" w:lineRule="exact"/>
                    <w:ind w:left="-99" w:leftChars="0" w:right="-78" w:rightChars="0"/>
                    <w:jc w:val="center"/>
                    <w:rPr>
                      <w:rFonts w:hint="eastAsia" w:ascii="宋体" w:hAnsi="宋体" w:eastAsia="宋体" w:cs="Arial"/>
                      <w:color w:val="auto"/>
                      <w:kern w:val="2"/>
                      <w:sz w:val="24"/>
                      <w:szCs w:val="24"/>
                      <w:highlight w:val="none"/>
                      <w:lang w:val="en-US" w:eastAsia="zh-CN" w:bidi="ar-SA"/>
                    </w:rPr>
                  </w:pPr>
                  <w:r>
                    <w:rPr>
                      <w:rFonts w:hint="eastAsia" w:ascii="宋体" w:hAnsi="宋体" w:cs="Arial"/>
                      <w:color w:val="auto"/>
                      <w:sz w:val="24"/>
                      <w:highlight w:val="none"/>
                      <w:lang w:val="en-US" w:eastAsia="zh-CN"/>
                    </w:rPr>
                    <w:t>2分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hint="eastAsia" w:ascii="宋体" w:hAnsi="宋体"/>
                      <w:color w:val="000000"/>
                      <w:sz w:val="24"/>
                    </w:rPr>
                  </w:pPr>
                  <w:r>
                    <w:rPr>
                      <w:rFonts w:hint="eastAsia" w:ascii="宋体" w:hAnsi="宋体"/>
                      <w:color w:val="000000"/>
                      <w:sz w:val="24"/>
                    </w:rPr>
                    <w:t>5</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kern w:val="0"/>
                      <w:sz w:val="24"/>
                    </w:rPr>
                  </w:pPr>
                  <w:r>
                    <w:rPr>
                      <w:rFonts w:hint="eastAsia" w:ascii="宋体" w:hAnsi="宋体"/>
                      <w:kern w:val="0"/>
                      <w:sz w:val="24"/>
                    </w:rPr>
                    <w:t>根据</w:t>
                  </w:r>
                  <w:r>
                    <w:rPr>
                      <w:rFonts w:hint="eastAsia" w:ascii="宋体" w:hAnsi="宋体"/>
                      <w:kern w:val="0"/>
                      <w:sz w:val="24"/>
                      <w:lang w:val="en-US" w:eastAsia="zh-CN"/>
                    </w:rPr>
                    <w:t>供应商</w:t>
                  </w:r>
                  <w:r>
                    <w:rPr>
                      <w:rFonts w:hint="eastAsia" w:ascii="宋体" w:hAnsi="宋体"/>
                      <w:kern w:val="0"/>
                      <w:sz w:val="24"/>
                    </w:rPr>
                    <w:t>提供的安装方案进行评价：</w:t>
                  </w:r>
                </w:p>
                <w:p>
                  <w:pPr>
                    <w:rPr>
                      <w:rFonts w:ascii="宋体" w:hAnsi="宋体"/>
                      <w:kern w:val="0"/>
                      <w:sz w:val="24"/>
                    </w:rPr>
                  </w:pPr>
                  <w:r>
                    <w:rPr>
                      <w:rFonts w:hint="eastAsia" w:ascii="宋体" w:hAnsi="宋体"/>
                      <w:kern w:val="0"/>
                      <w:sz w:val="24"/>
                    </w:rPr>
                    <w:t>（1）方案完整、专业且可行的，得</w:t>
                  </w:r>
                  <w:r>
                    <w:rPr>
                      <w:rFonts w:ascii="宋体" w:hAnsi="宋体"/>
                      <w:kern w:val="0"/>
                      <w:sz w:val="24"/>
                    </w:rPr>
                    <w:t>3</w:t>
                  </w:r>
                  <w:r>
                    <w:rPr>
                      <w:rFonts w:hint="eastAsia" w:ascii="宋体" w:hAnsi="宋体"/>
                      <w:kern w:val="0"/>
                      <w:sz w:val="24"/>
                    </w:rPr>
                    <w:t>分；</w:t>
                  </w:r>
                </w:p>
                <w:p>
                  <w:pPr>
                    <w:rPr>
                      <w:rFonts w:hint="eastAsia" w:ascii="宋体" w:hAnsi="宋体"/>
                      <w:kern w:val="0"/>
                      <w:sz w:val="24"/>
                    </w:rPr>
                  </w:pPr>
                  <w:r>
                    <w:rPr>
                      <w:rFonts w:hint="eastAsia" w:ascii="宋体" w:hAnsi="宋体"/>
                      <w:kern w:val="0"/>
                      <w:sz w:val="24"/>
                    </w:rPr>
                    <w:t>（2）方案基本完整专业但稍有瑕疵，得2分；</w:t>
                  </w:r>
                </w:p>
                <w:p>
                  <w:pPr>
                    <w:rPr>
                      <w:rFonts w:ascii="宋体" w:hAnsi="宋体"/>
                      <w:kern w:val="0"/>
                      <w:sz w:val="24"/>
                    </w:rPr>
                  </w:pPr>
                  <w:r>
                    <w:rPr>
                      <w:rFonts w:hint="eastAsia" w:ascii="宋体" w:hAnsi="宋体"/>
                      <w:kern w:val="0"/>
                      <w:sz w:val="24"/>
                    </w:rPr>
                    <w:t>（3）方案有漏洞对项目实施存在隐患，得</w:t>
                  </w:r>
                  <w:r>
                    <w:rPr>
                      <w:rFonts w:ascii="宋体" w:hAnsi="宋体"/>
                      <w:kern w:val="0"/>
                      <w:sz w:val="24"/>
                    </w:rPr>
                    <w:t>1</w:t>
                  </w:r>
                  <w:r>
                    <w:rPr>
                      <w:rFonts w:hint="eastAsia" w:ascii="宋体" w:hAnsi="宋体"/>
                      <w:kern w:val="0"/>
                      <w:sz w:val="24"/>
                    </w:rPr>
                    <w:t>分；</w:t>
                  </w:r>
                </w:p>
                <w:p>
                  <w:pPr>
                    <w:spacing w:line="240" w:lineRule="auto"/>
                    <w:jc w:val="left"/>
                    <w:rPr>
                      <w:rFonts w:hint="eastAsia" w:ascii="宋体" w:hAnsi="宋体" w:cs="Arial"/>
                      <w:color w:val="auto"/>
                      <w:kern w:val="0"/>
                      <w:sz w:val="24"/>
                      <w:szCs w:val="24"/>
                      <w:highlight w:val="none"/>
                      <w:lang w:val="en-US" w:eastAsia="zh-CN" w:bidi="ar-SA"/>
                    </w:rPr>
                  </w:pPr>
                  <w:r>
                    <w:rPr>
                      <w:rFonts w:hint="eastAsia" w:ascii="宋体" w:hAnsi="宋体"/>
                      <w:kern w:val="0"/>
                      <w:sz w:val="24"/>
                    </w:rPr>
                    <w:t>（4）其他情况不得分。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spacing w:before="60" w:beforeLines="25" w:after="60" w:afterLines="25" w:line="400" w:lineRule="exact"/>
                    <w:ind w:left="-99" w:leftChars="0" w:right="-78" w:rightChars="0"/>
                    <w:jc w:val="center"/>
                    <w:rPr>
                      <w:rFonts w:hint="eastAsia" w:ascii="宋体" w:hAnsi="宋体" w:eastAsia="宋体" w:cs="Arial"/>
                      <w:color w:val="auto"/>
                      <w:kern w:val="2"/>
                      <w:sz w:val="24"/>
                      <w:szCs w:val="24"/>
                      <w:highlight w:val="none"/>
                      <w:lang w:val="en-US" w:eastAsia="zh-CN" w:bidi="ar-SA"/>
                    </w:rPr>
                  </w:pPr>
                  <w:r>
                    <w:rPr>
                      <w:rFonts w:hint="eastAsia" w:ascii="宋体" w:hAnsi="宋体" w:cs="Arial"/>
                      <w:sz w:val="24"/>
                    </w:rPr>
                    <w:t>3</w:t>
                  </w:r>
                  <w:r>
                    <w:rPr>
                      <w:rFonts w:hint="eastAsia" w:ascii="宋体" w:hAnsi="宋体" w:cs="Arial"/>
                      <w:sz w:val="24"/>
                      <w:lang w:val="en-US" w:eastAsia="zh-CN"/>
                    </w:rPr>
                    <w:t>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150" w:hRule="atLeas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hint="eastAsia" w:ascii="宋体" w:hAnsi="宋体"/>
                      <w:color w:val="000000"/>
                      <w:sz w:val="24"/>
                    </w:rPr>
                  </w:pPr>
                  <w:r>
                    <w:rPr>
                      <w:rFonts w:hint="eastAsia" w:ascii="宋体" w:hAnsi="宋体"/>
                      <w:color w:val="000000"/>
                      <w:sz w:val="24"/>
                    </w:rPr>
                    <w:t>6</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tabs>
                      <w:tab w:val="left" w:pos="2041"/>
                      <w:tab w:val="left" w:pos="5907"/>
                      <w:tab w:val="left" w:pos="9344"/>
                    </w:tabs>
                    <w:spacing w:line="240" w:lineRule="auto"/>
                    <w:jc w:val="left"/>
                    <w:rPr>
                      <w:rFonts w:hint="eastAsia" w:ascii="宋体" w:hAnsi="宋体" w:cs="Times New Roman"/>
                      <w:bCs w:val="0"/>
                      <w:color w:val="auto"/>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
                    </w:rPr>
                    <w:t>根据供应商提供的应急解决方案（现场紧急故障等）的处理服务情况进行评价： 应急事件处理方案详细且合理可行，全面完善的得 2分；应急事件处理方案简单、大致可行的得1分；未提供方案的不得分。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widowControl/>
                    <w:tabs>
                      <w:tab w:val="left" w:pos="2041"/>
                      <w:tab w:val="left" w:pos="5907"/>
                      <w:tab w:val="left" w:pos="9344"/>
                    </w:tabs>
                    <w:adjustRightInd/>
                    <w:spacing w:line="240" w:lineRule="auto"/>
                    <w:jc w:val="center"/>
                    <w:rPr>
                      <w:rFonts w:hint="eastAsia" w:ascii="宋体" w:hAnsi="宋体" w:cs="Times New Roman"/>
                      <w:color w:val="auto"/>
                      <w:kern w:val="0"/>
                      <w:sz w:val="24"/>
                      <w:szCs w:val="24"/>
                      <w:lang w:val="en-US" w:eastAsia="zh-CN" w:bidi="ar-SA"/>
                    </w:rPr>
                  </w:pPr>
                  <w:r>
                    <w:rPr>
                      <w:rFonts w:hint="eastAsia" w:ascii="宋体" w:hAnsi="宋体" w:cs="Times New Roman"/>
                      <w:color w:val="auto"/>
                      <w:kern w:val="0"/>
                      <w:sz w:val="24"/>
                      <w:lang w:val="en-US" w:eastAsia="zh-CN" w:bidi="ar"/>
                    </w:rPr>
                    <w:t>2分</w:t>
                  </w:r>
                </w:p>
              </w:tc>
            </w:tr>
          </w:tbl>
          <w:p>
            <w:pPr>
              <w:adjustRightInd w:val="0"/>
              <w:spacing w:line="360" w:lineRule="auto"/>
              <w:ind w:firstLine="456"/>
              <w:rPr>
                <w:rFonts w:hint="eastAsia" w:ascii="宋体" w:hAnsi="宋体"/>
                <w:b/>
                <w:color w:val="000000"/>
                <w:sz w:val="24"/>
              </w:rPr>
            </w:pPr>
            <w:r>
              <w:rPr>
                <w:rFonts w:hint="eastAsia" w:ascii="宋体" w:hAnsi="宋体" w:cs="Arial"/>
                <w:b/>
                <w:color w:val="000000"/>
                <w:sz w:val="24"/>
              </w:rPr>
              <w:t xml:space="preserve">2. </w:t>
            </w:r>
            <w:r>
              <w:rPr>
                <w:rFonts w:hint="eastAsia" w:ascii="宋体" w:hAnsi="宋体"/>
                <w:b/>
                <w:color w:val="000000"/>
                <w:sz w:val="24"/>
              </w:rPr>
              <w:t>商务分F2（按满分</w:t>
            </w:r>
            <w:r>
              <w:rPr>
                <w:rFonts w:hint="eastAsia" w:ascii="宋体" w:hAnsi="宋体"/>
                <w:b/>
                <w:color w:val="000000"/>
                <w:sz w:val="24"/>
                <w:lang w:val="en-US" w:eastAsia="zh-CN"/>
              </w:rPr>
              <w:t>15</w:t>
            </w:r>
            <w:r>
              <w:rPr>
                <w:rFonts w:hint="eastAsia" w:ascii="宋体" w:hAnsi="宋体"/>
                <w:b/>
                <w:color w:val="000000"/>
                <w:sz w:val="24"/>
              </w:rPr>
              <w:t>分打分）</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27"/>
              <w:gridCol w:w="7369"/>
              <w:gridCol w:w="779"/>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cs="Arial"/>
                      <w:bCs/>
                      <w:color w:val="000000"/>
                      <w:kern w:val="10"/>
                      <w:sz w:val="24"/>
                      <w:szCs w:val="24"/>
                    </w:rPr>
                  </w:pPr>
                  <w:r>
                    <w:rPr>
                      <w:rFonts w:hint="eastAsia" w:cs="Arial"/>
                      <w:bCs/>
                      <w:color w:val="000000"/>
                      <w:kern w:val="10"/>
                      <w:sz w:val="24"/>
                      <w:szCs w:val="24"/>
                    </w:rPr>
                    <w:t>序号</w:t>
                  </w:r>
                </w:p>
              </w:tc>
              <w:tc>
                <w:tcPr>
                  <w:tcW w:w="7369" w:type="dxa"/>
                  <w:tcBorders>
                    <w:top w:val="single" w:color="auto" w:sz="6"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2920" w:firstLineChars="1217"/>
                    <w:textAlignment w:val="auto"/>
                    <w:rPr>
                      <w:rFonts w:cs="Arial"/>
                      <w:bCs/>
                      <w:color w:val="000000"/>
                      <w:sz w:val="24"/>
                      <w:szCs w:val="24"/>
                    </w:rPr>
                  </w:pPr>
                  <w:r>
                    <w:rPr>
                      <w:rFonts w:hint="eastAsia"/>
                      <w:color w:val="000000"/>
                      <w:sz w:val="24"/>
                      <w:szCs w:val="24"/>
                    </w:rPr>
                    <w:t>评分因素及评分细则</w:t>
                  </w:r>
                </w:p>
              </w:tc>
              <w:tc>
                <w:tcPr>
                  <w:tcW w:w="779" w:type="dxa"/>
                  <w:tcBorders>
                    <w:top w:val="single" w:color="auto" w:sz="6" w:space="0"/>
                    <w:left w:val="single" w:color="auto" w:sz="4"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textAlignment w:val="auto"/>
                    <w:rPr>
                      <w:color w:val="000000"/>
                      <w:sz w:val="24"/>
                      <w:szCs w:val="24"/>
                    </w:rPr>
                  </w:pPr>
                  <w:r>
                    <w:rPr>
                      <w:rFonts w:hint="eastAsia"/>
                      <w:color w:val="000000"/>
                      <w:sz w:val="24"/>
                      <w:szCs w:val="24"/>
                    </w:rPr>
                    <w:t>满分</w:t>
                  </w:r>
                </w:p>
                <w:p>
                  <w:pPr>
                    <w:keepNext w:val="0"/>
                    <w:keepLines w:val="0"/>
                    <w:pageBreakBefore w:val="0"/>
                    <w:widowControl w:val="0"/>
                    <w:kinsoku/>
                    <w:wordWrap/>
                    <w:overflowPunct/>
                    <w:topLinePunct w:val="0"/>
                    <w:autoSpaceDE/>
                    <w:autoSpaceDN/>
                    <w:bidi w:val="0"/>
                    <w:adjustRightInd w:val="0"/>
                    <w:snapToGrid/>
                    <w:spacing w:line="240" w:lineRule="auto"/>
                    <w:textAlignment w:val="auto"/>
                    <w:rPr>
                      <w:rFonts w:cs="Arial"/>
                      <w:bCs/>
                      <w:color w:val="000000"/>
                      <w:sz w:val="24"/>
                      <w:szCs w:val="24"/>
                    </w:rPr>
                  </w:pPr>
                  <w:r>
                    <w:rPr>
                      <w:rFonts w:hint="eastAsia" w:cs="Arial"/>
                      <w:bCs/>
                      <w:color w:val="000000"/>
                      <w:sz w:val="24"/>
                      <w:szCs w:val="24"/>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679"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adjustRightInd w:val="0"/>
                    <w:spacing w:line="300" w:lineRule="exact"/>
                    <w:jc w:val="center"/>
                    <w:rPr>
                      <w:rFonts w:hint="eastAsia" w:cs="Arial"/>
                      <w:bCs/>
                      <w:color w:val="000000"/>
                      <w:kern w:val="10"/>
                    </w:rPr>
                  </w:pPr>
                  <w:r>
                    <w:rPr>
                      <w:rFonts w:hint="eastAsia" w:cs="Arial"/>
                      <w:bCs/>
                      <w:color w:val="000000"/>
                      <w:kern w:val="10"/>
                    </w:rPr>
                    <w:t>1</w:t>
                  </w:r>
                </w:p>
              </w:tc>
              <w:tc>
                <w:tcPr>
                  <w:tcW w:w="7369" w:type="dxa"/>
                  <w:tcBorders>
                    <w:top w:val="single" w:color="auto" w:sz="6"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供应商</w:t>
                  </w:r>
                  <w:r>
                    <w:rPr>
                      <w:rFonts w:hint="eastAsia" w:ascii="宋体" w:hAnsi="宋体" w:cs="宋体"/>
                      <w:color w:val="000000"/>
                      <w:kern w:val="0"/>
                      <w:sz w:val="24"/>
                      <w:szCs w:val="24"/>
                      <w:lang w:val="en-US" w:eastAsia="zh-CN" w:bidi="ar-SA"/>
                    </w:rPr>
                    <w:t>所投品牌的同类</w:t>
                  </w:r>
                  <w:r>
                    <w:rPr>
                      <w:rFonts w:hint="eastAsia" w:ascii="宋体" w:hAnsi="宋体" w:eastAsia="宋体" w:cs="宋体"/>
                      <w:color w:val="000000"/>
                      <w:kern w:val="0"/>
                      <w:sz w:val="24"/>
                      <w:szCs w:val="24"/>
                      <w:lang w:val="en-US" w:eastAsia="zh-CN" w:bidi="ar-SA"/>
                    </w:rPr>
                    <w:t>产品自20</w:t>
                  </w:r>
                  <w:r>
                    <w:rPr>
                      <w:rFonts w:hint="eastAsia" w:ascii="宋体" w:hAnsi="宋体" w:cs="宋体"/>
                      <w:color w:val="000000"/>
                      <w:kern w:val="0"/>
                      <w:sz w:val="24"/>
                      <w:szCs w:val="24"/>
                      <w:lang w:val="en-US" w:eastAsia="zh-CN" w:bidi="ar-SA"/>
                    </w:rPr>
                    <w:t>20</w:t>
                  </w:r>
                  <w:r>
                    <w:rPr>
                      <w:rFonts w:hint="eastAsia" w:ascii="宋体" w:hAnsi="宋体" w:eastAsia="宋体" w:cs="宋体"/>
                      <w:color w:val="000000"/>
                      <w:kern w:val="0"/>
                      <w:sz w:val="24"/>
                      <w:szCs w:val="24"/>
                      <w:lang w:val="en-US" w:eastAsia="zh-CN" w:bidi="ar-SA"/>
                    </w:rPr>
                    <w:t>年至今</w:t>
                  </w:r>
                  <w:r>
                    <w:rPr>
                      <w:rFonts w:hint="eastAsia" w:ascii="宋体" w:hAnsi="宋体" w:cs="宋体"/>
                      <w:color w:val="000000"/>
                      <w:kern w:val="0"/>
                      <w:sz w:val="24"/>
                      <w:szCs w:val="24"/>
                      <w:lang w:val="en-US" w:eastAsia="zh-CN" w:bidi="ar-SA"/>
                    </w:rPr>
                    <w:t>，每提供</w:t>
                  </w:r>
                  <w:r>
                    <w:rPr>
                      <w:rFonts w:hint="eastAsia" w:ascii="宋体" w:hAnsi="宋体" w:eastAsia="宋体" w:cs="宋体"/>
                      <w:color w:val="000000"/>
                      <w:kern w:val="0"/>
                      <w:sz w:val="24"/>
                      <w:szCs w:val="24"/>
                      <w:lang w:val="en-US" w:eastAsia="zh-CN" w:bidi="ar-SA"/>
                    </w:rPr>
                    <w:t>具有</w:t>
                  </w:r>
                  <w:r>
                    <w:rPr>
                      <w:rFonts w:hint="eastAsia" w:ascii="宋体" w:hAnsi="宋体" w:cs="宋体"/>
                      <w:color w:val="000000"/>
                      <w:kern w:val="0"/>
                      <w:sz w:val="24"/>
                      <w:szCs w:val="24"/>
                      <w:lang w:val="en-US" w:eastAsia="zh-CN" w:bidi="ar-SA"/>
                    </w:rPr>
                    <w:t>口腔专科医院</w:t>
                  </w:r>
                  <w:r>
                    <w:rPr>
                      <w:rFonts w:hint="eastAsia" w:ascii="宋体" w:hAnsi="宋体" w:eastAsia="宋体" w:cs="宋体"/>
                      <w:color w:val="000000"/>
                      <w:kern w:val="0"/>
                      <w:sz w:val="24"/>
                      <w:szCs w:val="24"/>
                      <w:lang w:val="en-US" w:eastAsia="zh-CN" w:bidi="ar-SA"/>
                    </w:rPr>
                    <w:t>医用边柜</w:t>
                  </w:r>
                  <w:r>
                    <w:rPr>
                      <w:rFonts w:hint="eastAsia" w:ascii="宋体" w:hAnsi="宋体" w:cs="宋体"/>
                      <w:color w:val="000000"/>
                      <w:kern w:val="0"/>
                      <w:sz w:val="24"/>
                      <w:szCs w:val="24"/>
                      <w:lang w:val="en-US" w:eastAsia="zh-CN" w:bidi="ar-SA"/>
                    </w:rPr>
                    <w:t>供货金额在8万元</w:t>
                  </w:r>
                  <w:r>
                    <w:rPr>
                      <w:rFonts w:hint="eastAsia" w:ascii="宋体" w:hAnsi="宋体" w:cs="宋体"/>
                      <w:color w:val="000000"/>
                      <w:kern w:val="0"/>
                      <w:sz w:val="24"/>
                      <w:szCs w:val="24"/>
                      <w:highlight w:val="none"/>
                      <w:lang w:val="en-US" w:eastAsia="zh-CN" w:bidi="ar-SA"/>
                    </w:rPr>
                    <w:t>以上</w:t>
                  </w:r>
                  <w:r>
                    <w:rPr>
                      <w:rFonts w:hint="eastAsia" w:ascii="宋体" w:hAnsi="宋体" w:eastAsia="宋体" w:cs="宋体"/>
                      <w:color w:val="000000"/>
                      <w:kern w:val="0"/>
                      <w:sz w:val="24"/>
                      <w:szCs w:val="24"/>
                      <w:highlight w:val="none"/>
                      <w:lang w:val="en-US" w:eastAsia="zh-CN" w:bidi="ar-SA"/>
                    </w:rPr>
                    <w:t>供货业绩的得1分，</w:t>
                  </w:r>
                  <w:r>
                    <w:rPr>
                      <w:rFonts w:hint="eastAsia" w:ascii="宋体" w:hAnsi="宋体" w:eastAsia="宋体" w:cs="宋体"/>
                      <w:color w:val="000000"/>
                      <w:kern w:val="0"/>
                      <w:sz w:val="24"/>
                      <w:szCs w:val="24"/>
                      <w:lang w:val="en-US" w:eastAsia="zh-CN" w:bidi="ar-SA"/>
                    </w:rPr>
                    <w:t>本项目满分</w:t>
                  </w:r>
                  <w:r>
                    <w:rPr>
                      <w:rFonts w:hint="eastAsia" w:ascii="宋体" w:hAnsi="宋体" w:cs="宋体"/>
                      <w:color w:val="000000"/>
                      <w:kern w:val="0"/>
                      <w:sz w:val="24"/>
                      <w:szCs w:val="24"/>
                      <w:lang w:val="en-US" w:eastAsia="zh-CN" w:bidi="ar-SA"/>
                    </w:rPr>
                    <w:t>3</w:t>
                  </w:r>
                  <w:r>
                    <w:rPr>
                      <w:rFonts w:hint="eastAsia" w:ascii="宋体" w:hAnsi="宋体" w:eastAsia="宋体" w:cs="宋体"/>
                      <w:color w:val="000000"/>
                      <w:kern w:val="0"/>
                      <w:sz w:val="24"/>
                      <w:szCs w:val="24"/>
                      <w:lang w:val="en-US" w:eastAsia="zh-CN" w:bidi="ar-SA"/>
                    </w:rPr>
                    <w:t xml:space="preserve">分。 </w:t>
                  </w:r>
                </w:p>
                <w:p>
                  <w:pPr>
                    <w:widowControl/>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供应商须提供该业绩项目以下资料复印件：①合同文本复印件②中标（成交）公告（提供相关网站中标或成交公告的下载网页及其网址）；③中标（成交）通知书。如未按以上要求提供该项业绩的①-③项全部证明材料的，磋商小组对该项业绩将不予采信。</w:t>
                  </w:r>
                </w:p>
              </w:tc>
              <w:tc>
                <w:tcPr>
                  <w:tcW w:w="779" w:type="dxa"/>
                  <w:tcBorders>
                    <w:top w:val="single" w:color="auto" w:sz="6" w:space="0"/>
                    <w:left w:val="single" w:color="auto" w:sz="4" w:space="0"/>
                    <w:bottom w:val="single" w:color="auto" w:sz="4" w:space="0"/>
                    <w:right w:val="single" w:color="auto" w:sz="6" w:space="0"/>
                  </w:tcBorders>
                  <w:noWrap w:val="0"/>
                  <w:vAlign w:val="center"/>
                </w:tcPr>
                <w:p>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3</w:t>
                  </w:r>
                  <w:r>
                    <w:rPr>
                      <w:rFonts w:hint="eastAsia" w:ascii="宋体" w:hAnsi="宋体" w:eastAsia="宋体" w:cs="宋体"/>
                      <w:color w:val="000000"/>
                      <w:kern w:val="0"/>
                      <w:sz w:val="24"/>
                      <w:szCs w:val="24"/>
                      <w:lang w:val="en-US" w:eastAsia="zh-CN" w:bidi="ar-SA"/>
                    </w:rPr>
                    <w:t>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adjustRightInd w:val="0"/>
                    <w:spacing w:line="300" w:lineRule="exact"/>
                    <w:jc w:val="center"/>
                    <w:rPr>
                      <w:rFonts w:hint="eastAsia" w:cs="Arial"/>
                      <w:bCs/>
                      <w:color w:val="000000"/>
                      <w:kern w:val="10"/>
                    </w:rPr>
                  </w:pPr>
                  <w:r>
                    <w:rPr>
                      <w:rFonts w:hint="eastAsia" w:cs="Arial"/>
                      <w:bCs/>
                      <w:color w:val="000000"/>
                      <w:kern w:val="10"/>
                    </w:rPr>
                    <w:t>2</w:t>
                  </w:r>
                </w:p>
              </w:tc>
              <w:tc>
                <w:tcPr>
                  <w:tcW w:w="7369" w:type="dxa"/>
                  <w:tcBorders>
                    <w:top w:val="single" w:color="auto" w:sz="6" w:space="0"/>
                    <w:left w:val="single" w:color="auto" w:sz="4" w:space="0"/>
                    <w:bottom w:val="single" w:color="auto" w:sz="4" w:space="0"/>
                    <w:right w:val="single" w:color="auto" w:sz="4" w:space="0"/>
                  </w:tcBorders>
                  <w:noWrap w:val="0"/>
                  <w:vAlign w:val="center"/>
                </w:tcPr>
                <w:p>
                  <w:pPr>
                    <w:widowControl/>
                    <w:adjustRightInd w:val="0"/>
                    <w:spacing w:line="300" w:lineRule="exact"/>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eastAsia="zh-CN"/>
                      <w14:textFill>
                        <w14:solidFill>
                          <w14:schemeClr w14:val="tx1"/>
                        </w14:solidFill>
                      </w14:textFill>
                    </w:rPr>
                    <w:t>供应商</w:t>
                  </w:r>
                  <w:r>
                    <w:rPr>
                      <w:rFonts w:hint="eastAsia" w:ascii="宋体" w:hAnsi="宋体" w:cs="宋体"/>
                      <w:color w:val="000000" w:themeColor="text1"/>
                      <w:kern w:val="0"/>
                      <w:sz w:val="24"/>
                      <w:lang w:val="en-US" w:eastAsia="zh-CN"/>
                      <w14:textFill>
                        <w14:solidFill>
                          <w14:schemeClr w14:val="tx1"/>
                        </w14:solidFill>
                      </w14:textFill>
                    </w:rPr>
                    <w:t>或产品制造商</w:t>
                  </w:r>
                  <w:r>
                    <w:rPr>
                      <w:rFonts w:hint="eastAsia" w:ascii="宋体" w:hAnsi="宋体" w:eastAsia="宋体" w:cs="宋体"/>
                      <w:color w:val="000000" w:themeColor="text1"/>
                      <w:kern w:val="0"/>
                      <w:sz w:val="24"/>
                      <w14:textFill>
                        <w14:solidFill>
                          <w14:schemeClr w14:val="tx1"/>
                        </w14:solidFill>
                      </w14:textFill>
                    </w:rPr>
                    <w:t>具有有效的质量管理体系认证证书的得1分，</w:t>
                  </w:r>
                  <w:r>
                    <w:rPr>
                      <w:rFonts w:hint="eastAsia" w:ascii="宋体" w:hAnsi="宋体" w:eastAsia="宋体" w:cs="宋体"/>
                      <w:color w:val="000000" w:themeColor="text1"/>
                      <w:kern w:val="0"/>
                      <w:sz w:val="24"/>
                      <w:lang w:eastAsia="zh-CN"/>
                      <w14:textFill>
                        <w14:solidFill>
                          <w14:schemeClr w14:val="tx1"/>
                        </w14:solidFill>
                      </w14:textFill>
                    </w:rPr>
                    <w:t>供应商</w:t>
                  </w:r>
                  <w:r>
                    <w:rPr>
                      <w:rFonts w:hint="eastAsia" w:ascii="宋体" w:hAnsi="宋体" w:cs="宋体"/>
                      <w:color w:val="000000" w:themeColor="text1"/>
                      <w:kern w:val="0"/>
                      <w:sz w:val="24"/>
                      <w:lang w:val="en-US" w:eastAsia="zh-CN"/>
                      <w14:textFill>
                        <w14:solidFill>
                          <w14:schemeClr w14:val="tx1"/>
                        </w14:solidFill>
                      </w14:textFill>
                    </w:rPr>
                    <w:t>或产品制造商</w:t>
                  </w:r>
                  <w:r>
                    <w:rPr>
                      <w:rFonts w:hint="eastAsia" w:ascii="宋体" w:hAnsi="宋体" w:eastAsia="宋体" w:cs="宋体"/>
                      <w:color w:val="000000" w:themeColor="text1"/>
                      <w:kern w:val="0"/>
                      <w:sz w:val="24"/>
                      <w14:textFill>
                        <w14:solidFill>
                          <w14:schemeClr w14:val="tx1"/>
                        </w14:solidFill>
                      </w14:textFill>
                    </w:rPr>
                    <w:t>须提供相关有效证书复印件并加盖</w:t>
                  </w:r>
                  <w:r>
                    <w:rPr>
                      <w:rFonts w:hint="eastAsia" w:ascii="宋体" w:hAnsi="宋体" w:eastAsia="宋体" w:cs="宋体"/>
                      <w:color w:val="000000" w:themeColor="text1"/>
                      <w:kern w:val="0"/>
                      <w:sz w:val="24"/>
                      <w:lang w:eastAsia="zh-CN"/>
                      <w14:textFill>
                        <w14:solidFill>
                          <w14:schemeClr w14:val="tx1"/>
                        </w14:solidFill>
                      </w14:textFill>
                    </w:rPr>
                    <w:t>供应商</w:t>
                  </w:r>
                  <w:r>
                    <w:rPr>
                      <w:rFonts w:hint="eastAsia" w:ascii="宋体" w:hAnsi="宋体" w:eastAsia="宋体" w:cs="宋体"/>
                      <w:color w:val="000000" w:themeColor="text1"/>
                      <w:kern w:val="0"/>
                      <w:sz w:val="24"/>
                      <w14:textFill>
                        <w14:solidFill>
                          <w14:schemeClr w14:val="tx1"/>
                        </w14:solidFill>
                      </w14:textFill>
                    </w:rPr>
                    <w:t>公章，否则不得分。</w:t>
                  </w:r>
                </w:p>
              </w:tc>
              <w:tc>
                <w:tcPr>
                  <w:tcW w:w="779" w:type="dxa"/>
                  <w:tcBorders>
                    <w:top w:val="single" w:color="auto" w:sz="6" w:space="0"/>
                    <w:left w:val="single" w:color="auto" w:sz="4" w:space="0"/>
                    <w:bottom w:val="single" w:color="auto" w:sz="4" w:space="0"/>
                    <w:right w:val="single" w:color="auto" w:sz="6" w:space="0"/>
                  </w:tcBorders>
                  <w:noWrap w:val="0"/>
                  <w:vAlign w:val="center"/>
                </w:tcPr>
                <w:p>
                  <w:pPr>
                    <w:pStyle w:val="20"/>
                    <w:autoSpaceDE w:val="0"/>
                    <w:jc w:val="center"/>
                    <w:rPr>
                      <w:rFonts w:hint="eastAsia" w:ascii="宋体" w:hAnsi="宋体" w:eastAsia="宋体" w:cs="Arial"/>
                      <w:bCs/>
                      <w:kern w:val="2"/>
                    </w:rPr>
                  </w:pPr>
                  <w:r>
                    <w:rPr>
                      <w:rFonts w:hint="eastAsia" w:ascii="宋体" w:hAnsi="宋体" w:eastAsia="宋体" w:cs="Arial"/>
                      <w:bCs/>
                      <w:kern w:val="2"/>
                      <w:lang w:val="en-US" w:eastAsia="zh-CN"/>
                    </w:rPr>
                    <w:t>1</w:t>
                  </w:r>
                  <w:r>
                    <w:rPr>
                      <w:rFonts w:hint="eastAsia" w:ascii="宋体" w:hAnsi="宋体" w:eastAsia="宋体" w:cs="Arial"/>
                      <w:bCs/>
                      <w:kern w:val="2"/>
                    </w:rPr>
                    <w:t>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476"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adjustRightInd w:val="0"/>
                    <w:spacing w:line="300" w:lineRule="exact"/>
                    <w:jc w:val="center"/>
                    <w:rPr>
                      <w:rFonts w:hint="eastAsia" w:cs="Arial"/>
                      <w:bCs/>
                      <w:color w:val="000000"/>
                      <w:kern w:val="10"/>
                    </w:rPr>
                  </w:pPr>
                  <w:r>
                    <w:rPr>
                      <w:rFonts w:hint="eastAsia" w:cs="Arial"/>
                      <w:bCs/>
                      <w:color w:val="000000"/>
                      <w:kern w:val="10"/>
                    </w:rPr>
                    <w:t>3</w:t>
                  </w:r>
                </w:p>
              </w:tc>
              <w:tc>
                <w:tcPr>
                  <w:tcW w:w="7369" w:type="dxa"/>
                  <w:tcBorders>
                    <w:top w:val="single" w:color="auto" w:sz="6" w:space="0"/>
                    <w:left w:val="single" w:color="auto" w:sz="4" w:space="0"/>
                    <w:bottom w:val="single" w:color="auto" w:sz="4" w:space="0"/>
                    <w:right w:val="single" w:color="auto" w:sz="4" w:space="0"/>
                  </w:tcBorders>
                  <w:noWrap w:val="0"/>
                  <w:vAlign w:val="center"/>
                </w:tcPr>
                <w:p>
                  <w:pPr>
                    <w:widowControl/>
                    <w:adjustRightInd w:val="0"/>
                    <w:spacing w:line="300" w:lineRule="exact"/>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eastAsia="zh-CN"/>
                      <w14:textFill>
                        <w14:solidFill>
                          <w14:schemeClr w14:val="tx1"/>
                        </w14:solidFill>
                      </w14:textFill>
                    </w:rPr>
                    <w:t>供应商</w:t>
                  </w:r>
                  <w:r>
                    <w:rPr>
                      <w:rFonts w:hint="eastAsia" w:ascii="宋体" w:hAnsi="宋体" w:cs="宋体"/>
                      <w:color w:val="000000" w:themeColor="text1"/>
                      <w:kern w:val="0"/>
                      <w:sz w:val="24"/>
                      <w:lang w:val="en-US" w:eastAsia="zh-CN"/>
                      <w14:textFill>
                        <w14:solidFill>
                          <w14:schemeClr w14:val="tx1"/>
                        </w14:solidFill>
                      </w14:textFill>
                    </w:rPr>
                    <w:t>或产品制造商</w:t>
                  </w:r>
                  <w:r>
                    <w:rPr>
                      <w:rFonts w:hint="eastAsia" w:ascii="宋体" w:hAnsi="宋体" w:eastAsia="宋体" w:cs="宋体"/>
                      <w:color w:val="000000" w:themeColor="text1"/>
                      <w:kern w:val="0"/>
                      <w:sz w:val="24"/>
                      <w14:textFill>
                        <w14:solidFill>
                          <w14:schemeClr w14:val="tx1"/>
                        </w14:solidFill>
                      </w14:textFill>
                    </w:rPr>
                    <w:t>具有有效的环境管理体系认证证书的得1分，</w:t>
                  </w:r>
                  <w:r>
                    <w:rPr>
                      <w:rFonts w:hint="eastAsia" w:ascii="宋体" w:hAnsi="宋体" w:eastAsia="宋体" w:cs="宋体"/>
                      <w:color w:val="000000" w:themeColor="text1"/>
                      <w:kern w:val="0"/>
                      <w:sz w:val="24"/>
                      <w:lang w:eastAsia="zh-CN"/>
                      <w14:textFill>
                        <w14:solidFill>
                          <w14:schemeClr w14:val="tx1"/>
                        </w14:solidFill>
                      </w14:textFill>
                    </w:rPr>
                    <w:t>供应商</w:t>
                  </w:r>
                  <w:r>
                    <w:rPr>
                      <w:rFonts w:hint="eastAsia" w:ascii="宋体" w:hAnsi="宋体" w:cs="宋体"/>
                      <w:color w:val="000000" w:themeColor="text1"/>
                      <w:kern w:val="0"/>
                      <w:sz w:val="24"/>
                      <w:lang w:val="en-US" w:eastAsia="zh-CN"/>
                      <w14:textFill>
                        <w14:solidFill>
                          <w14:schemeClr w14:val="tx1"/>
                        </w14:solidFill>
                      </w14:textFill>
                    </w:rPr>
                    <w:t>或产品制造商</w:t>
                  </w:r>
                  <w:r>
                    <w:rPr>
                      <w:rFonts w:hint="eastAsia" w:ascii="宋体" w:hAnsi="宋体" w:eastAsia="宋体" w:cs="宋体"/>
                      <w:color w:val="000000" w:themeColor="text1"/>
                      <w:kern w:val="0"/>
                      <w:sz w:val="24"/>
                      <w14:textFill>
                        <w14:solidFill>
                          <w14:schemeClr w14:val="tx1"/>
                        </w14:solidFill>
                      </w14:textFill>
                    </w:rPr>
                    <w:t>须提供相关有效证书复印件并加盖</w:t>
                  </w:r>
                  <w:r>
                    <w:rPr>
                      <w:rFonts w:hint="eastAsia" w:ascii="宋体" w:hAnsi="宋体" w:eastAsia="宋体" w:cs="宋体"/>
                      <w:color w:val="000000" w:themeColor="text1"/>
                      <w:kern w:val="0"/>
                      <w:sz w:val="24"/>
                      <w:lang w:eastAsia="zh-CN"/>
                      <w14:textFill>
                        <w14:solidFill>
                          <w14:schemeClr w14:val="tx1"/>
                        </w14:solidFill>
                      </w14:textFill>
                    </w:rPr>
                    <w:t>供应商</w:t>
                  </w:r>
                  <w:r>
                    <w:rPr>
                      <w:rFonts w:hint="eastAsia" w:ascii="宋体" w:hAnsi="宋体" w:eastAsia="宋体" w:cs="宋体"/>
                      <w:color w:val="000000" w:themeColor="text1"/>
                      <w:kern w:val="0"/>
                      <w:sz w:val="24"/>
                      <w14:textFill>
                        <w14:solidFill>
                          <w14:schemeClr w14:val="tx1"/>
                        </w14:solidFill>
                      </w14:textFill>
                    </w:rPr>
                    <w:t>公章，否则不得分。</w:t>
                  </w:r>
                </w:p>
              </w:tc>
              <w:tc>
                <w:tcPr>
                  <w:tcW w:w="779" w:type="dxa"/>
                  <w:tcBorders>
                    <w:top w:val="single" w:color="auto" w:sz="6" w:space="0"/>
                    <w:left w:val="single" w:color="auto" w:sz="4" w:space="0"/>
                    <w:bottom w:val="single" w:color="auto" w:sz="4" w:space="0"/>
                    <w:right w:val="single" w:color="auto" w:sz="6" w:space="0"/>
                  </w:tcBorders>
                  <w:noWrap w:val="0"/>
                  <w:vAlign w:val="center"/>
                </w:tcPr>
                <w:p>
                  <w:pPr>
                    <w:widowControl/>
                    <w:jc w:val="center"/>
                    <w:rPr>
                      <w:rFonts w:hint="eastAsia" w:ascii="宋体" w:hAnsi="宋体" w:eastAsia="宋体" w:cs="Arial"/>
                      <w:bCs/>
                      <w:kern w:val="2"/>
                      <w:sz w:val="24"/>
                      <w:szCs w:val="24"/>
                      <w:lang w:val="en-US" w:eastAsia="zh-CN" w:bidi="ar-SA"/>
                    </w:rPr>
                  </w:pPr>
                  <w:r>
                    <w:rPr>
                      <w:rFonts w:hint="eastAsia" w:ascii="宋体" w:hAnsi="宋体" w:eastAsia="宋体" w:cs="Arial"/>
                      <w:bCs/>
                      <w:kern w:val="2"/>
                      <w:sz w:val="24"/>
                      <w:szCs w:val="24"/>
                      <w:lang w:val="en-US" w:eastAsia="zh-CN" w:bidi="ar-SA"/>
                    </w:rPr>
                    <w:t>1分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adjustRightInd w:val="0"/>
                    <w:spacing w:line="300" w:lineRule="exact"/>
                    <w:jc w:val="center"/>
                    <w:rPr>
                      <w:rFonts w:cs="Arial"/>
                      <w:bCs/>
                      <w:color w:val="000000"/>
                      <w:kern w:val="10"/>
                    </w:rPr>
                  </w:pPr>
                  <w:r>
                    <w:rPr>
                      <w:rFonts w:hint="eastAsia" w:cs="Arial"/>
                      <w:bCs/>
                      <w:color w:val="000000"/>
                      <w:kern w:val="10"/>
                    </w:rPr>
                    <w:t>4</w:t>
                  </w:r>
                </w:p>
              </w:tc>
              <w:tc>
                <w:tcPr>
                  <w:tcW w:w="7369" w:type="dxa"/>
                  <w:tcBorders>
                    <w:top w:val="single" w:color="auto" w:sz="6" w:space="0"/>
                    <w:left w:val="single" w:color="auto" w:sz="4" w:space="0"/>
                    <w:bottom w:val="single" w:color="auto" w:sz="4" w:space="0"/>
                    <w:right w:val="single" w:color="auto" w:sz="4" w:space="0"/>
                  </w:tcBorders>
                  <w:noWrap w:val="0"/>
                  <w:vAlign w:val="center"/>
                </w:tcPr>
                <w:p>
                  <w:pPr>
                    <w:widowControl/>
                    <w:adjustRightInd w:val="0"/>
                    <w:spacing w:line="300" w:lineRule="exact"/>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eastAsia="zh-CN"/>
                      <w14:textFill>
                        <w14:solidFill>
                          <w14:schemeClr w14:val="tx1"/>
                        </w14:solidFill>
                      </w14:textFill>
                    </w:rPr>
                    <w:t>供应商</w:t>
                  </w:r>
                  <w:r>
                    <w:rPr>
                      <w:rFonts w:hint="eastAsia" w:ascii="宋体" w:hAnsi="宋体" w:cs="宋体"/>
                      <w:color w:val="000000" w:themeColor="text1"/>
                      <w:kern w:val="0"/>
                      <w:sz w:val="24"/>
                      <w:lang w:val="en-US" w:eastAsia="zh-CN"/>
                      <w14:textFill>
                        <w14:solidFill>
                          <w14:schemeClr w14:val="tx1"/>
                        </w14:solidFill>
                      </w14:textFill>
                    </w:rPr>
                    <w:t>或产品制造商</w:t>
                  </w:r>
                  <w:r>
                    <w:rPr>
                      <w:rFonts w:hint="eastAsia" w:ascii="宋体" w:hAnsi="宋体" w:eastAsia="宋体" w:cs="宋体"/>
                      <w:color w:val="000000" w:themeColor="text1"/>
                      <w:kern w:val="0"/>
                      <w:sz w:val="24"/>
                      <w14:textFill>
                        <w14:solidFill>
                          <w14:schemeClr w14:val="tx1"/>
                        </w14:solidFill>
                      </w14:textFill>
                    </w:rPr>
                    <w:t>具有有效的职业健康安全管理体系认证证书的得1分，</w:t>
                  </w:r>
                  <w:r>
                    <w:rPr>
                      <w:rFonts w:hint="eastAsia" w:ascii="宋体" w:hAnsi="宋体" w:eastAsia="宋体" w:cs="宋体"/>
                      <w:color w:val="000000" w:themeColor="text1"/>
                      <w:kern w:val="0"/>
                      <w:sz w:val="24"/>
                      <w:lang w:eastAsia="zh-CN"/>
                      <w14:textFill>
                        <w14:solidFill>
                          <w14:schemeClr w14:val="tx1"/>
                        </w14:solidFill>
                      </w14:textFill>
                    </w:rPr>
                    <w:t>供应商</w:t>
                  </w:r>
                  <w:r>
                    <w:rPr>
                      <w:rFonts w:hint="eastAsia" w:ascii="宋体" w:hAnsi="宋体" w:cs="宋体"/>
                      <w:color w:val="000000" w:themeColor="text1"/>
                      <w:kern w:val="0"/>
                      <w:sz w:val="24"/>
                      <w:lang w:val="en-US" w:eastAsia="zh-CN"/>
                      <w14:textFill>
                        <w14:solidFill>
                          <w14:schemeClr w14:val="tx1"/>
                        </w14:solidFill>
                      </w14:textFill>
                    </w:rPr>
                    <w:t>或产品制造商</w:t>
                  </w:r>
                  <w:r>
                    <w:rPr>
                      <w:rFonts w:hint="eastAsia" w:ascii="宋体" w:hAnsi="宋体" w:eastAsia="宋体" w:cs="宋体"/>
                      <w:color w:val="000000" w:themeColor="text1"/>
                      <w:kern w:val="0"/>
                      <w:sz w:val="24"/>
                      <w14:textFill>
                        <w14:solidFill>
                          <w14:schemeClr w14:val="tx1"/>
                        </w14:solidFill>
                      </w14:textFill>
                    </w:rPr>
                    <w:t>须提供相关有效证书复印件并加盖</w:t>
                  </w:r>
                  <w:r>
                    <w:rPr>
                      <w:rFonts w:hint="eastAsia" w:ascii="宋体" w:hAnsi="宋体" w:eastAsia="宋体" w:cs="宋体"/>
                      <w:color w:val="000000" w:themeColor="text1"/>
                      <w:kern w:val="0"/>
                      <w:sz w:val="24"/>
                      <w:lang w:eastAsia="zh-CN"/>
                      <w14:textFill>
                        <w14:solidFill>
                          <w14:schemeClr w14:val="tx1"/>
                        </w14:solidFill>
                      </w14:textFill>
                    </w:rPr>
                    <w:t>供应商</w:t>
                  </w:r>
                  <w:r>
                    <w:rPr>
                      <w:rFonts w:hint="eastAsia" w:ascii="宋体" w:hAnsi="宋体" w:eastAsia="宋体" w:cs="宋体"/>
                      <w:color w:val="000000" w:themeColor="text1"/>
                      <w:kern w:val="0"/>
                      <w:sz w:val="24"/>
                      <w14:textFill>
                        <w14:solidFill>
                          <w14:schemeClr w14:val="tx1"/>
                        </w14:solidFill>
                      </w14:textFill>
                    </w:rPr>
                    <w:t>公章，否则不得分。</w:t>
                  </w:r>
                </w:p>
              </w:tc>
              <w:tc>
                <w:tcPr>
                  <w:tcW w:w="779" w:type="dxa"/>
                  <w:tcBorders>
                    <w:top w:val="single" w:color="auto" w:sz="6" w:space="0"/>
                    <w:left w:val="single" w:color="auto" w:sz="4" w:space="0"/>
                    <w:bottom w:val="single" w:color="auto" w:sz="4" w:space="0"/>
                    <w:right w:val="single" w:color="auto" w:sz="6" w:space="0"/>
                  </w:tcBorders>
                  <w:noWrap w:val="0"/>
                  <w:vAlign w:val="center"/>
                </w:tcPr>
                <w:p>
                  <w:pPr>
                    <w:snapToGrid w:val="0"/>
                    <w:spacing w:line="276" w:lineRule="auto"/>
                    <w:jc w:val="center"/>
                    <w:rPr>
                      <w:rFonts w:hint="eastAsia" w:ascii="宋体" w:hAnsi="宋体" w:eastAsia="宋体" w:cs="Arial"/>
                      <w:bCs/>
                      <w:kern w:val="2"/>
                      <w:sz w:val="24"/>
                      <w:szCs w:val="24"/>
                      <w:lang w:val="en-US" w:eastAsia="zh-CN" w:bidi="ar-SA"/>
                    </w:rPr>
                  </w:pPr>
                  <w:r>
                    <w:rPr>
                      <w:rFonts w:hint="eastAsia" w:ascii="宋体" w:hAnsi="宋体" w:eastAsia="宋体" w:cs="Arial"/>
                      <w:bCs/>
                      <w:kern w:val="2"/>
                      <w:sz w:val="24"/>
                      <w:szCs w:val="24"/>
                      <w:lang w:val="en-US" w:eastAsia="zh-CN" w:bidi="ar-SA"/>
                    </w:rPr>
                    <w:t>1分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476"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adjustRightInd w:val="0"/>
                    <w:spacing w:line="300" w:lineRule="exact"/>
                    <w:jc w:val="center"/>
                    <w:rPr>
                      <w:rFonts w:hint="eastAsia" w:cs="Arial"/>
                      <w:bCs/>
                      <w:color w:val="000000"/>
                      <w:kern w:val="10"/>
                    </w:rPr>
                  </w:pPr>
                  <w:r>
                    <w:rPr>
                      <w:rFonts w:hint="eastAsia" w:cs="Arial"/>
                      <w:bCs/>
                      <w:color w:val="000000"/>
                      <w:kern w:val="10"/>
                    </w:rPr>
                    <w:t>5</w:t>
                  </w:r>
                </w:p>
              </w:tc>
              <w:tc>
                <w:tcPr>
                  <w:tcW w:w="7369" w:type="dxa"/>
                  <w:tcBorders>
                    <w:top w:val="single" w:color="auto" w:sz="6" w:space="0"/>
                    <w:left w:val="single" w:color="auto" w:sz="4" w:space="0"/>
                    <w:bottom w:val="single" w:color="auto" w:sz="4" w:space="0"/>
                    <w:right w:val="single" w:color="auto" w:sz="4" w:space="0"/>
                  </w:tcBorders>
                  <w:noWrap w:val="0"/>
                  <w:vAlign w:val="center"/>
                </w:tcPr>
                <w:p>
                  <w:pPr>
                    <w:widowControl/>
                    <w:adjustRightInd w:val="0"/>
                    <w:spacing w:line="300" w:lineRule="exact"/>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根据供应商</w:t>
                  </w:r>
                  <w:r>
                    <w:rPr>
                      <w:rFonts w:hint="eastAsia" w:ascii="宋体" w:hAnsi="宋体" w:eastAsia="宋体" w:cs="宋体"/>
                      <w:kern w:val="0"/>
                      <w:sz w:val="24"/>
                      <w:highlight w:val="none"/>
                    </w:rPr>
                    <w:t>保修期承诺</w:t>
                  </w:r>
                  <w:r>
                    <w:rPr>
                      <w:rFonts w:hint="eastAsia" w:ascii="宋体" w:hAnsi="宋体" w:eastAsia="宋体" w:cs="宋体"/>
                      <w:kern w:val="0"/>
                      <w:sz w:val="24"/>
                      <w:highlight w:val="none"/>
                      <w:lang w:val="en-US" w:eastAsia="zh-CN"/>
                    </w:rPr>
                    <w:t>进行评分：</w:t>
                  </w:r>
                  <w:r>
                    <w:rPr>
                      <w:rFonts w:hint="eastAsia" w:ascii="宋体" w:hAnsi="宋体" w:eastAsia="宋体" w:cs="宋体"/>
                      <w:kern w:val="0"/>
                      <w:sz w:val="24"/>
                      <w:highlight w:val="none"/>
                    </w:rPr>
                    <w:t>在满足</w:t>
                  </w:r>
                  <w:r>
                    <w:rPr>
                      <w:rFonts w:hint="eastAsia" w:ascii="宋体" w:hAnsi="宋体" w:eastAsia="宋体" w:cs="宋体"/>
                      <w:kern w:val="0"/>
                      <w:sz w:val="24"/>
                      <w:highlight w:val="none"/>
                      <w:lang w:val="en-US" w:eastAsia="zh-CN"/>
                    </w:rPr>
                    <w:t>磋商</w:t>
                  </w:r>
                  <w:r>
                    <w:rPr>
                      <w:rFonts w:hint="eastAsia" w:ascii="宋体" w:hAnsi="宋体" w:eastAsia="宋体" w:cs="宋体"/>
                      <w:kern w:val="0"/>
                      <w:sz w:val="24"/>
                      <w:highlight w:val="none"/>
                    </w:rPr>
                    <w:t>文件</w:t>
                  </w:r>
                  <w:r>
                    <w:rPr>
                      <w:rFonts w:hint="eastAsia" w:ascii="宋体" w:hAnsi="宋体" w:eastAsia="宋体" w:cs="宋体"/>
                      <w:kern w:val="0"/>
                      <w:sz w:val="24"/>
                      <w:highlight w:val="none"/>
                      <w:lang w:val="en-US" w:eastAsia="zh-CN"/>
                    </w:rPr>
                    <w:t>的</w:t>
                  </w:r>
                  <w:r>
                    <w:rPr>
                      <w:rFonts w:hint="eastAsia" w:ascii="宋体" w:hAnsi="宋体" w:eastAsia="宋体" w:cs="宋体"/>
                      <w:kern w:val="0"/>
                      <w:sz w:val="24"/>
                      <w:highlight w:val="none"/>
                    </w:rPr>
                    <w:t>基础上，</w:t>
                  </w:r>
                  <w:r>
                    <w:rPr>
                      <w:rFonts w:hint="eastAsia" w:ascii="宋体" w:hAnsi="宋体" w:eastAsia="宋体" w:cs="宋体"/>
                      <w:kern w:val="0"/>
                      <w:sz w:val="24"/>
                      <w:highlight w:val="none"/>
                      <w:lang w:val="en-US" w:eastAsia="zh-CN"/>
                    </w:rPr>
                    <w:t>承诺保修期</w:t>
                  </w:r>
                  <w:r>
                    <w:rPr>
                      <w:rFonts w:hint="eastAsia" w:ascii="宋体" w:hAnsi="宋体" w:eastAsia="宋体" w:cs="宋体"/>
                      <w:kern w:val="0"/>
                      <w:sz w:val="24"/>
                      <w:highlight w:val="none"/>
                    </w:rPr>
                    <w:t>每增加</w:t>
                  </w:r>
                  <w:r>
                    <w:rPr>
                      <w:rFonts w:hint="eastAsia" w:ascii="宋体" w:hAnsi="宋体" w:eastAsia="宋体" w:cs="宋体"/>
                      <w:kern w:val="0"/>
                      <w:sz w:val="24"/>
                      <w:highlight w:val="none"/>
                      <w:lang w:val="en-US" w:eastAsia="zh-CN"/>
                    </w:rPr>
                    <w:t>0.5</w:t>
                  </w:r>
                  <w:r>
                    <w:rPr>
                      <w:rFonts w:hint="eastAsia" w:ascii="宋体" w:hAnsi="宋体" w:eastAsia="宋体" w:cs="宋体"/>
                      <w:kern w:val="0"/>
                      <w:sz w:val="24"/>
                      <w:highlight w:val="none"/>
                    </w:rPr>
                    <w:t>年的得</w:t>
                  </w: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rPr>
                    <w:t>分，满分</w:t>
                  </w: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rPr>
                    <w:t>分。</w:t>
                  </w:r>
                </w:p>
              </w:tc>
              <w:tc>
                <w:tcPr>
                  <w:tcW w:w="779" w:type="dxa"/>
                  <w:tcBorders>
                    <w:top w:val="single" w:color="auto" w:sz="6" w:space="0"/>
                    <w:left w:val="single" w:color="auto" w:sz="4" w:space="0"/>
                    <w:bottom w:val="single" w:color="auto" w:sz="4" w:space="0"/>
                    <w:right w:val="single" w:color="auto" w:sz="6" w:space="0"/>
                  </w:tcBorders>
                  <w:noWrap w:val="0"/>
                  <w:vAlign w:val="center"/>
                </w:tcPr>
                <w:p>
                  <w:pPr>
                    <w:ind w:right="-27"/>
                    <w:jc w:val="center"/>
                    <w:rPr>
                      <w:rFonts w:hint="eastAsia" w:ascii="宋体" w:hAnsi="宋体" w:eastAsia="宋体" w:cs="Arial"/>
                      <w:bCs/>
                      <w:kern w:val="2"/>
                      <w:sz w:val="24"/>
                      <w:szCs w:val="24"/>
                      <w:highlight w:val="none"/>
                      <w:lang w:val="en-US" w:eastAsia="zh-CN" w:bidi="ar-SA"/>
                    </w:rPr>
                  </w:pPr>
                  <w:r>
                    <w:rPr>
                      <w:rFonts w:hint="eastAsia" w:ascii="宋体" w:hAnsi="宋体" w:eastAsia="宋体" w:cs="Arial"/>
                      <w:bCs/>
                      <w:kern w:val="2"/>
                      <w:sz w:val="24"/>
                      <w:szCs w:val="24"/>
                      <w:highlight w:val="none"/>
                      <w:lang w:val="en-US" w:eastAsia="zh-CN" w:bidi="ar-SA"/>
                    </w:rPr>
                    <w:t>3分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adjustRightInd w:val="0"/>
                    <w:spacing w:line="300" w:lineRule="exact"/>
                    <w:jc w:val="center"/>
                    <w:rPr>
                      <w:rFonts w:hint="eastAsia" w:cs="Arial"/>
                      <w:bCs/>
                      <w:color w:val="000000"/>
                      <w:kern w:val="10"/>
                    </w:rPr>
                  </w:pPr>
                  <w:r>
                    <w:rPr>
                      <w:rFonts w:hint="eastAsia" w:cs="Arial"/>
                      <w:bCs/>
                      <w:color w:val="000000"/>
                      <w:kern w:val="10"/>
                    </w:rPr>
                    <w:t>6</w:t>
                  </w:r>
                </w:p>
              </w:tc>
              <w:tc>
                <w:tcPr>
                  <w:tcW w:w="7369" w:type="dxa"/>
                  <w:tcBorders>
                    <w:top w:val="single" w:color="auto" w:sz="6" w:space="0"/>
                    <w:left w:val="single" w:color="auto" w:sz="4" w:space="0"/>
                    <w:bottom w:val="single" w:color="auto" w:sz="4" w:space="0"/>
                    <w:right w:val="single" w:color="auto" w:sz="4" w:space="0"/>
                  </w:tcBorders>
                  <w:noWrap w:val="0"/>
                  <w:vAlign w:val="center"/>
                </w:tcPr>
                <w:p>
                  <w:pPr>
                    <w:widowControl/>
                    <w:adjustRightInd w:val="0"/>
                    <w:spacing w:line="300" w:lineRule="exact"/>
                    <w:jc w:val="left"/>
                    <w:rPr>
                      <w:rFonts w:hint="eastAsia" w:ascii="宋体" w:hAnsi="宋体" w:eastAsia="宋体" w:cs="宋体"/>
                      <w:kern w:val="0"/>
                      <w:sz w:val="24"/>
                      <w:lang w:val="en-US" w:eastAsia="zh-CN"/>
                    </w:rPr>
                  </w:pPr>
                  <w:r>
                    <w:rPr>
                      <w:rFonts w:hint="eastAsia" w:ascii="宋体" w:hAnsi="宋体" w:eastAsia="宋体" w:cs="宋体"/>
                      <w:kern w:val="0"/>
                      <w:sz w:val="24"/>
                    </w:rPr>
                    <w:t>根据供应商交付期承诺进行评分：满足磋商文件要求的基础上，承诺交付期每提前5</w:t>
                  </w:r>
                  <w:r>
                    <w:rPr>
                      <w:rFonts w:hint="eastAsia" w:ascii="宋体" w:hAnsi="宋体" w:eastAsia="宋体" w:cs="宋体"/>
                      <w:kern w:val="0"/>
                      <w:sz w:val="24"/>
                      <w:lang w:val="en-US" w:eastAsia="zh-CN"/>
                    </w:rPr>
                    <w:t>日历日</w:t>
                  </w:r>
                  <w:r>
                    <w:rPr>
                      <w:rFonts w:hint="eastAsia" w:ascii="宋体" w:hAnsi="宋体" w:eastAsia="宋体" w:cs="宋体"/>
                      <w:kern w:val="0"/>
                      <w:sz w:val="24"/>
                    </w:rPr>
                    <w:t>的得1分，满分</w:t>
                  </w:r>
                  <w:r>
                    <w:rPr>
                      <w:rFonts w:hint="eastAsia" w:ascii="宋体" w:hAnsi="宋体" w:cs="宋体"/>
                      <w:kern w:val="0"/>
                      <w:sz w:val="24"/>
                      <w:lang w:val="en-US" w:eastAsia="zh-CN"/>
                    </w:rPr>
                    <w:t>2</w:t>
                  </w:r>
                  <w:r>
                    <w:rPr>
                      <w:rFonts w:hint="eastAsia" w:ascii="宋体" w:hAnsi="宋体" w:eastAsia="宋体" w:cs="宋体"/>
                      <w:kern w:val="0"/>
                      <w:sz w:val="24"/>
                    </w:rPr>
                    <w:t>分。</w:t>
                  </w:r>
                </w:p>
              </w:tc>
              <w:tc>
                <w:tcPr>
                  <w:tcW w:w="779" w:type="dxa"/>
                  <w:tcBorders>
                    <w:top w:val="single" w:color="auto" w:sz="6" w:space="0"/>
                    <w:left w:val="single" w:color="auto" w:sz="4" w:space="0"/>
                    <w:bottom w:val="single" w:color="auto" w:sz="4" w:space="0"/>
                    <w:right w:val="single" w:color="auto" w:sz="6" w:space="0"/>
                  </w:tcBorders>
                  <w:noWrap w:val="0"/>
                  <w:vAlign w:val="center"/>
                </w:tcPr>
                <w:p>
                  <w:pPr>
                    <w:adjustRightInd w:val="0"/>
                    <w:spacing w:line="300" w:lineRule="exact"/>
                    <w:jc w:val="center"/>
                    <w:rPr>
                      <w:rFonts w:hint="eastAsia" w:ascii="宋体" w:hAnsi="宋体" w:eastAsia="宋体" w:cs="Arial"/>
                      <w:bCs/>
                      <w:kern w:val="2"/>
                      <w:sz w:val="24"/>
                      <w:szCs w:val="24"/>
                      <w:lang w:val="en-US" w:eastAsia="zh-CN" w:bidi="ar-SA"/>
                    </w:rPr>
                  </w:pPr>
                  <w:r>
                    <w:rPr>
                      <w:rFonts w:hint="eastAsia" w:ascii="宋体" w:hAnsi="宋体" w:cs="Arial"/>
                      <w:bCs/>
                      <w:kern w:val="2"/>
                      <w:sz w:val="24"/>
                      <w:szCs w:val="24"/>
                      <w:lang w:val="en-US" w:eastAsia="zh-CN" w:bidi="ar-SA"/>
                    </w:rPr>
                    <w:t>2</w:t>
                  </w:r>
                  <w:r>
                    <w:rPr>
                      <w:rFonts w:hint="eastAsia" w:ascii="宋体" w:hAnsi="宋体" w:eastAsia="宋体" w:cs="Arial"/>
                      <w:bCs/>
                      <w:kern w:val="2"/>
                      <w:sz w:val="24"/>
                      <w:szCs w:val="24"/>
                      <w:lang w:val="en-US" w:eastAsia="zh-CN" w:bidi="ar-SA"/>
                    </w:rPr>
                    <w:t>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727" w:type="dxa"/>
                  <w:tcBorders>
                    <w:top w:val="single" w:color="auto" w:sz="6" w:space="0"/>
                    <w:left w:val="single" w:color="auto" w:sz="6" w:space="0"/>
                    <w:bottom w:val="single" w:color="auto" w:sz="6" w:space="0"/>
                    <w:right w:val="single" w:color="auto" w:sz="4" w:space="0"/>
                  </w:tcBorders>
                  <w:noWrap w:val="0"/>
                  <w:vAlign w:val="center"/>
                </w:tcPr>
                <w:p>
                  <w:pPr>
                    <w:adjustRightInd w:val="0"/>
                    <w:spacing w:line="300" w:lineRule="exact"/>
                    <w:jc w:val="center"/>
                    <w:rPr>
                      <w:rFonts w:hint="eastAsia" w:cs="Arial"/>
                      <w:bCs/>
                      <w:color w:val="000000"/>
                      <w:kern w:val="10"/>
                    </w:rPr>
                  </w:pPr>
                  <w:r>
                    <w:rPr>
                      <w:rFonts w:hint="eastAsia" w:cs="Arial"/>
                      <w:bCs/>
                      <w:color w:val="000000"/>
                      <w:kern w:val="10"/>
                    </w:rPr>
                    <w:t>7</w:t>
                  </w:r>
                </w:p>
              </w:tc>
              <w:tc>
                <w:tcPr>
                  <w:tcW w:w="7369" w:type="dxa"/>
                  <w:tcBorders>
                    <w:top w:val="single" w:color="auto" w:sz="6" w:space="0"/>
                    <w:left w:val="single" w:color="auto" w:sz="4" w:space="0"/>
                    <w:bottom w:val="single" w:color="auto" w:sz="6" w:space="0"/>
                    <w:right w:val="single" w:color="auto" w:sz="4" w:space="0"/>
                  </w:tcBorders>
                  <w:noWrap w:val="0"/>
                  <w:vAlign w:val="center"/>
                </w:tcPr>
                <w:p>
                  <w:pPr>
                    <w:pStyle w:val="20"/>
                    <w:autoSpaceDE w:val="0"/>
                    <w:rPr>
                      <w:rFonts w:hint="eastAsia" w:ascii="宋体" w:hAnsi="宋体" w:cs="宋体"/>
                      <w:kern w:val="0"/>
                      <w:sz w:val="24"/>
                      <w:szCs w:val="24"/>
                      <w:lang w:val="en-US" w:eastAsia="zh-CN" w:bidi="ar-SA"/>
                    </w:rPr>
                  </w:pPr>
                  <w:r>
                    <w:rPr>
                      <w:rFonts w:hint="eastAsia" w:ascii="宋体" w:hAnsi="宋体" w:cs="宋体"/>
                      <w:kern w:val="0"/>
                      <w:sz w:val="24"/>
                      <w:szCs w:val="24"/>
                      <w:lang w:val="en-US" w:eastAsia="zh-CN"/>
                    </w:rPr>
                    <w:t>供应商</w:t>
                  </w:r>
                  <w:r>
                    <w:rPr>
                      <w:rFonts w:ascii="宋体" w:hAnsi="宋体" w:cs="宋体"/>
                      <w:kern w:val="0"/>
                      <w:sz w:val="24"/>
                      <w:szCs w:val="24"/>
                    </w:rPr>
                    <w:t>针对本项目所作出的售后服务：包含售后服务承诺、响应时间、服务方案等进行评分：①内容全面、深度详细、响应时间及方式非常快、非常适用的得3分； ②内容较为全面、深度一般、响应时间及方式快、较适用的得2分； ③内容不够全面、深度不够、响应时间及方式慢、部分适用的得1分； 不符合</w:t>
                  </w:r>
                  <w:r>
                    <w:rPr>
                      <w:rFonts w:hint="eastAsia" w:ascii="宋体" w:hAnsi="宋体" w:cs="宋体"/>
                      <w:kern w:val="0"/>
                      <w:sz w:val="24"/>
                      <w:szCs w:val="24"/>
                      <w:lang w:val="en-US" w:eastAsia="zh-CN"/>
                    </w:rPr>
                    <w:t>磋商</w:t>
                  </w:r>
                  <w:r>
                    <w:rPr>
                      <w:rFonts w:ascii="宋体" w:hAnsi="宋体" w:cs="宋体"/>
                      <w:kern w:val="0"/>
                      <w:sz w:val="24"/>
                      <w:szCs w:val="24"/>
                    </w:rPr>
                    <w:t>文件要求或未提供任何售后服务承诺的不得分。</w:t>
                  </w:r>
                </w:p>
              </w:tc>
              <w:tc>
                <w:tcPr>
                  <w:tcW w:w="779" w:type="dxa"/>
                  <w:tcBorders>
                    <w:top w:val="single" w:color="auto" w:sz="6" w:space="0"/>
                    <w:left w:val="single" w:color="auto" w:sz="4" w:space="0"/>
                    <w:bottom w:val="single" w:color="auto" w:sz="6" w:space="0"/>
                    <w:right w:val="single" w:color="auto" w:sz="6" w:space="0"/>
                  </w:tcBorders>
                  <w:noWrap w:val="0"/>
                  <w:vAlign w:val="center"/>
                </w:tcPr>
                <w:p>
                  <w:pPr>
                    <w:pStyle w:val="20"/>
                    <w:autoSpaceDE w:val="0"/>
                    <w:jc w:val="center"/>
                    <w:rPr>
                      <w:rFonts w:hint="eastAsia" w:ascii="宋体" w:hAnsi="宋体" w:eastAsia="宋体" w:cs="Arial"/>
                      <w:bCs/>
                      <w:kern w:val="2"/>
                      <w:sz w:val="24"/>
                      <w:szCs w:val="24"/>
                      <w:lang w:val="en-US" w:eastAsia="zh-CN" w:bidi="ar-SA"/>
                    </w:rPr>
                  </w:pPr>
                  <w:r>
                    <w:rPr>
                      <w:rFonts w:hint="eastAsia" w:ascii="宋体" w:hAnsi="宋体" w:eastAsia="宋体" w:cs="Arial"/>
                      <w:bCs/>
                      <w:kern w:val="2"/>
                      <w:sz w:val="24"/>
                      <w:szCs w:val="24"/>
                      <w:lang w:val="en-US" w:eastAsia="zh-CN" w:bidi="ar-SA"/>
                    </w:rPr>
                    <w:t>3分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476"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adjustRightInd w:val="0"/>
                    <w:spacing w:line="300" w:lineRule="exact"/>
                    <w:jc w:val="center"/>
                    <w:rPr>
                      <w:rFonts w:hint="eastAsia" w:eastAsia="宋体" w:cs="Arial"/>
                      <w:bCs/>
                      <w:color w:val="000000"/>
                      <w:kern w:val="10"/>
                      <w:lang w:val="en-US" w:eastAsia="zh-CN"/>
                    </w:rPr>
                  </w:pPr>
                  <w:r>
                    <w:rPr>
                      <w:rFonts w:hint="eastAsia" w:cs="Arial"/>
                      <w:bCs/>
                      <w:color w:val="000000"/>
                      <w:kern w:val="10"/>
                      <w:lang w:val="en-US" w:eastAsia="zh-CN"/>
                    </w:rPr>
                    <w:t>8</w:t>
                  </w:r>
                </w:p>
              </w:tc>
              <w:tc>
                <w:tcPr>
                  <w:tcW w:w="7369" w:type="dxa"/>
                  <w:tcBorders>
                    <w:top w:val="single" w:color="auto" w:sz="6" w:space="0"/>
                    <w:left w:val="single" w:color="auto" w:sz="4" w:space="0"/>
                    <w:bottom w:val="single" w:color="auto" w:sz="4" w:space="0"/>
                    <w:right w:val="single" w:color="auto" w:sz="4" w:space="0"/>
                  </w:tcBorders>
                  <w:noWrap w:val="0"/>
                  <w:vAlign w:val="center"/>
                </w:tcPr>
                <w:p>
                  <w:pPr>
                    <w:pStyle w:val="20"/>
                    <w:autoSpaceDE w:val="0"/>
                    <w:jc w:val="left"/>
                    <w:rPr>
                      <w:rFonts w:hint="eastAsia"/>
                      <w:highlight w:val="none"/>
                    </w:rPr>
                  </w:pPr>
                  <w:r>
                    <w:rPr>
                      <w:rFonts w:hint="eastAsia"/>
                      <w:highlight w:val="none"/>
                    </w:rPr>
                    <w:t>根据供应商的服务情况进行评分，满分</w:t>
                  </w:r>
                  <w:r>
                    <w:rPr>
                      <w:rFonts w:hint="eastAsia"/>
                      <w:highlight w:val="none"/>
                      <w:lang w:val="en-US" w:eastAsia="zh-CN"/>
                    </w:rPr>
                    <w:t>1</w:t>
                  </w:r>
                  <w:r>
                    <w:rPr>
                      <w:rFonts w:hint="eastAsia"/>
                      <w:highlight w:val="none"/>
                    </w:rPr>
                    <w:t>分：</w:t>
                  </w:r>
                </w:p>
                <w:p>
                  <w:pPr>
                    <w:pStyle w:val="20"/>
                    <w:autoSpaceDE w:val="0"/>
                    <w:jc w:val="left"/>
                    <w:rPr>
                      <w:rFonts w:hint="eastAsia" w:ascii="宋体" w:hAnsi="宋体" w:cs="宋体"/>
                      <w:kern w:val="0"/>
                      <w:sz w:val="24"/>
                      <w:szCs w:val="24"/>
                      <w:highlight w:val="none"/>
                      <w:lang w:val="en-US" w:eastAsia="zh-CN"/>
                    </w:rPr>
                  </w:pPr>
                  <w:r>
                    <w:rPr>
                      <w:rFonts w:hint="eastAsia"/>
                      <w:highlight w:val="none"/>
                    </w:rPr>
                    <w:t>为保障本项目的本地化服务水平和能力，供应商自身机构的营业执照证明，也可以提供本地设立的项目部、办公室、办事处等机构证明，或者承诺成交后提供本地化服务，否则不得分。</w:t>
                  </w:r>
                </w:p>
              </w:tc>
              <w:tc>
                <w:tcPr>
                  <w:tcW w:w="779" w:type="dxa"/>
                  <w:tcBorders>
                    <w:top w:val="single" w:color="auto" w:sz="6" w:space="0"/>
                    <w:left w:val="single" w:color="auto" w:sz="4" w:space="0"/>
                    <w:bottom w:val="single" w:color="auto" w:sz="4" w:space="0"/>
                    <w:right w:val="single" w:color="auto" w:sz="6" w:space="0"/>
                  </w:tcBorders>
                  <w:noWrap w:val="0"/>
                  <w:vAlign w:val="center"/>
                </w:tcPr>
                <w:p>
                  <w:pPr>
                    <w:pStyle w:val="20"/>
                    <w:autoSpaceDE w:val="0"/>
                    <w:jc w:val="center"/>
                    <w:rPr>
                      <w:rFonts w:hint="eastAsia" w:ascii="宋体" w:hAnsi="宋体" w:eastAsia="宋体" w:cs="Arial"/>
                      <w:bCs/>
                      <w:kern w:val="2"/>
                      <w:sz w:val="24"/>
                      <w:szCs w:val="24"/>
                      <w:highlight w:val="none"/>
                      <w:lang w:val="en-US" w:eastAsia="zh-CN" w:bidi="ar-SA"/>
                    </w:rPr>
                  </w:pPr>
                  <w:r>
                    <w:rPr>
                      <w:rFonts w:hint="eastAsia" w:cs="Arial"/>
                      <w:bCs/>
                      <w:kern w:val="2"/>
                      <w:highlight w:val="none"/>
                      <w:lang w:val="en-US" w:eastAsia="zh-CN"/>
                    </w:rPr>
                    <w:t>1分</w:t>
                  </w:r>
                </w:p>
              </w:tc>
            </w:tr>
          </w:tbl>
          <w:p>
            <w:pPr>
              <w:adjustRightInd w:val="0"/>
              <w:spacing w:line="360" w:lineRule="auto"/>
              <w:ind w:firstLine="456"/>
              <w:rPr>
                <w:rFonts w:hint="eastAsia" w:ascii="宋体" w:hAnsi="宋体"/>
                <w:b/>
                <w:color w:val="000000"/>
                <w:sz w:val="24"/>
              </w:rPr>
            </w:pPr>
            <w:r>
              <w:rPr>
                <w:rFonts w:hint="eastAsia" w:ascii="宋体" w:hAnsi="宋体"/>
                <w:color w:val="000000"/>
                <w:sz w:val="24"/>
              </w:rPr>
              <w:t>　</w:t>
            </w:r>
            <w:r>
              <w:rPr>
                <w:rFonts w:hint="eastAsia" w:ascii="宋体" w:hAnsi="宋体"/>
                <w:b/>
                <w:color w:val="000000"/>
                <w:sz w:val="24"/>
              </w:rPr>
              <w:t>3．价格分F3</w:t>
            </w:r>
            <w:r>
              <w:rPr>
                <w:rFonts w:hint="eastAsia" w:ascii="宋体" w:hAnsi="宋体"/>
                <w:b/>
                <w:color w:val="000000"/>
                <w:spacing w:val="-4"/>
                <w:sz w:val="24"/>
              </w:rPr>
              <w:t>（按满分</w:t>
            </w:r>
            <w:r>
              <w:rPr>
                <w:rFonts w:hint="eastAsia" w:ascii="宋体" w:hAnsi="宋体"/>
                <w:b/>
                <w:color w:val="000000"/>
                <w:spacing w:val="-4"/>
                <w:sz w:val="24"/>
                <w:lang w:val="en-US" w:eastAsia="zh-CN"/>
              </w:rPr>
              <w:t>3</w:t>
            </w:r>
            <w:r>
              <w:rPr>
                <w:rFonts w:hint="eastAsia" w:ascii="宋体" w:hAnsi="宋体"/>
                <w:b/>
                <w:color w:val="000000"/>
                <w:spacing w:val="-4"/>
                <w:sz w:val="24"/>
              </w:rPr>
              <w:t>0分打分）</w:t>
            </w:r>
          </w:p>
          <w:p>
            <w:pPr>
              <w:adjustRightInd w:val="0"/>
              <w:spacing w:line="360" w:lineRule="auto"/>
              <w:ind w:firstLine="456"/>
              <w:rPr>
                <w:rFonts w:hint="eastAsia" w:ascii="宋体" w:hAnsi="宋体" w:eastAsia="宋体"/>
                <w:color w:val="000000"/>
                <w:spacing w:val="-4"/>
                <w:sz w:val="24"/>
                <w:highlight w:val="yellow"/>
                <w:lang w:eastAsia="zh-CN"/>
              </w:rPr>
            </w:pPr>
            <w:r>
              <w:rPr>
                <w:rFonts w:hint="eastAsia" w:ascii="宋体" w:hAnsi="宋体"/>
                <w:b/>
                <w:color w:val="000000"/>
              </w:rPr>
              <w:t>投标报价得分=（评标基准价／投标报价）×100</w:t>
            </w:r>
          </w:p>
        </w:tc>
      </w:tr>
    </w:tbl>
    <w:p>
      <w:pPr>
        <w:pStyle w:val="14"/>
        <w:rPr>
          <w:rFonts w:hint="eastAsia" w:eastAsia="宋体"/>
          <w:b/>
          <w:bCs/>
          <w:lang w:eastAsia="zh-CN"/>
        </w:rPr>
        <w:sectPr>
          <w:pgSz w:w="11906" w:h="16838"/>
          <w:pgMar w:top="1440" w:right="1800" w:bottom="1440" w:left="1800" w:header="851" w:footer="992" w:gutter="0"/>
          <w:cols w:space="425" w:num="1"/>
          <w:docGrid w:type="lines" w:linePitch="312" w:charSpace="0"/>
        </w:sectPr>
      </w:pPr>
      <w:r>
        <w:rPr>
          <w:rFonts w:hint="eastAsia"/>
          <w:b/>
          <w:bCs/>
          <w:lang w:eastAsia="zh-CN"/>
        </w:rPr>
        <w:t>响应供应商需根据评分表编制技术规格和商务偏离表</w:t>
      </w:r>
      <w:r>
        <w:rPr>
          <w:rFonts w:hint="eastAsia"/>
          <w:b/>
          <w:bCs/>
        </w:rPr>
        <w:t>。未按要求提供证据材料或书面承诺的，磋商小组将认定不满足该项要求。</w:t>
      </w:r>
    </w:p>
    <w:p>
      <w:pPr>
        <w:rPr>
          <w:rFonts w:hint="eastAsia"/>
        </w:rPr>
      </w:pPr>
    </w:p>
    <w:p>
      <w:pPr>
        <w:spacing w:line="360" w:lineRule="auto"/>
        <w:jc w:val="center"/>
        <w:rPr>
          <w:rFonts w:ascii="宋体" w:hAnsi="宋体"/>
          <w:b/>
          <w:sz w:val="32"/>
        </w:rPr>
      </w:pPr>
      <w:r>
        <w:rPr>
          <w:rFonts w:hint="eastAsia" w:ascii="宋体" w:hAnsi="宋体"/>
          <w:b/>
          <w:sz w:val="32"/>
        </w:rPr>
        <w:t>技术规格和商务偏离表</w:t>
      </w:r>
    </w:p>
    <w:p>
      <w:pPr>
        <w:spacing w:line="360" w:lineRule="auto"/>
        <w:rPr>
          <w:rFonts w:ascii="宋体" w:hAnsi="宋体"/>
          <w:bCs/>
          <w:sz w:val="24"/>
          <w:u w:val="single"/>
        </w:rPr>
      </w:pPr>
      <w:r>
        <w:rPr>
          <w:rFonts w:hint="eastAsia" w:ascii="宋体" w:hAnsi="宋体"/>
          <w:bCs/>
          <w:sz w:val="24"/>
        </w:rPr>
        <w:t>报价人名称（全程并加盖公章）：</w:t>
      </w:r>
      <w:r>
        <w:rPr>
          <w:rFonts w:hint="eastAsia" w:ascii="宋体" w:hAnsi="宋体"/>
          <w:bCs/>
          <w:sz w:val="24"/>
          <w:u w:val="single"/>
        </w:rPr>
        <w:t xml:space="preserve">                  </w:t>
      </w:r>
      <w:r>
        <w:rPr>
          <w:rFonts w:hint="eastAsia" w:ascii="宋体" w:hAnsi="宋体"/>
          <w:bCs/>
          <w:sz w:val="24"/>
        </w:rPr>
        <w:t>项目编号：</w:t>
      </w:r>
      <w:r>
        <w:rPr>
          <w:rFonts w:hint="eastAsia" w:ascii="宋体" w:hAnsi="宋体"/>
          <w:bCs/>
          <w:sz w:val="24"/>
          <w:u w:val="single"/>
        </w:rPr>
        <w:t xml:space="preserve">      </w:t>
      </w:r>
    </w:p>
    <w:tbl>
      <w:tblPr>
        <w:tblStyle w:val="9"/>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440"/>
        <w:gridCol w:w="1800"/>
        <w:gridCol w:w="2340"/>
        <w:gridCol w:w="2880"/>
        <w:gridCol w:w="1386"/>
        <w:gridCol w:w="3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6480"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采购文件要求</w:t>
            </w:r>
          </w:p>
        </w:tc>
        <w:tc>
          <w:tcPr>
            <w:tcW w:w="810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谈判响应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18"/>
                <w:szCs w:val="18"/>
              </w:rPr>
            </w:pPr>
            <w:r>
              <w:rPr>
                <w:rFonts w:hint="eastAsia" w:ascii="宋体" w:hAnsi="宋体"/>
                <w:sz w:val="18"/>
                <w:szCs w:val="18"/>
              </w:rPr>
              <w:t>合同包/品目号</w:t>
            </w:r>
          </w:p>
        </w:tc>
        <w:tc>
          <w:tcPr>
            <w:tcW w:w="1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货物名称</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规格条目号</w:t>
            </w:r>
          </w:p>
        </w:tc>
        <w:tc>
          <w:tcPr>
            <w:tcW w:w="23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采购文件要求</w:t>
            </w:r>
          </w:p>
        </w:tc>
        <w:tc>
          <w:tcPr>
            <w:tcW w:w="28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谈判响应情况</w:t>
            </w:r>
          </w:p>
        </w:tc>
        <w:tc>
          <w:tcPr>
            <w:tcW w:w="138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18"/>
                <w:szCs w:val="18"/>
              </w:rPr>
            </w:pPr>
            <w:r>
              <w:rPr>
                <w:rFonts w:hint="eastAsia" w:ascii="宋体" w:hAnsi="宋体"/>
                <w:sz w:val="18"/>
                <w:szCs w:val="18"/>
              </w:rPr>
              <w:t>谈判响应对应的页码</w:t>
            </w:r>
          </w:p>
        </w:tc>
        <w:tc>
          <w:tcPr>
            <w:tcW w:w="3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bl>
    <w:p>
      <w:pPr>
        <w:spacing w:line="360" w:lineRule="auto"/>
        <w:rPr>
          <w:rFonts w:ascii="宋体" w:hAnsi="宋体"/>
          <w:bCs/>
          <w:sz w:val="24"/>
        </w:rPr>
      </w:pPr>
      <w:r>
        <w:rPr>
          <w:rFonts w:hint="eastAsia" w:ascii="宋体" w:hAnsi="宋体"/>
          <w:bCs/>
          <w:sz w:val="24"/>
        </w:rPr>
        <w:t>注：1.报价人根据采购要求逐条说明谈判响应情况。</w:t>
      </w:r>
    </w:p>
    <w:p>
      <w:pPr>
        <w:spacing w:line="360" w:lineRule="auto"/>
        <w:ind w:firstLine="480" w:firstLineChars="200"/>
        <w:rPr>
          <w:rFonts w:ascii="宋体" w:hAnsi="宋体"/>
          <w:bCs/>
          <w:sz w:val="24"/>
        </w:rPr>
      </w:pPr>
      <w:r>
        <w:rPr>
          <w:rFonts w:hint="eastAsia" w:ascii="宋体" w:hAnsi="宋体"/>
          <w:bCs/>
          <w:sz w:val="24"/>
        </w:rPr>
        <w:t>2.</w:t>
      </w:r>
      <w:r>
        <w:rPr>
          <w:rFonts w:hint="eastAsia" w:ascii="宋体" w:hAnsi="宋体"/>
          <w:sz w:val="24"/>
        </w:rPr>
        <w:t xml:space="preserve"> 报价</w:t>
      </w:r>
      <w:r>
        <w:rPr>
          <w:rFonts w:hint="eastAsia" w:ascii="宋体" w:hAnsi="宋体" w:cs="宋体"/>
          <w:kern w:val="0"/>
          <w:sz w:val="24"/>
          <w:szCs w:val="24"/>
        </w:rPr>
        <w:t>人应对采购文件中的“*”号条款进行逐条响应，否则评审专家对其报价做出不利评审，报价人必须自行承担责任</w:t>
      </w:r>
      <w:r>
        <w:rPr>
          <w:rFonts w:hint="eastAsia" w:ascii="宋体" w:hAnsi="宋体"/>
          <w:bCs/>
          <w:sz w:val="24"/>
        </w:rPr>
        <w:t>。报价人存在弄虚作假行为的，将依法承担响应的法律责任。</w:t>
      </w:r>
    </w:p>
    <w:p>
      <w:pPr>
        <w:spacing w:line="360" w:lineRule="auto"/>
        <w:jc w:val="center"/>
        <w:rPr>
          <w:rFonts w:ascii="宋体" w:hAnsi="宋体"/>
          <w:bCs/>
          <w:sz w:val="24"/>
        </w:rPr>
      </w:pPr>
    </w:p>
    <w:p>
      <w:pPr>
        <w:spacing w:line="360" w:lineRule="auto"/>
        <w:rPr>
          <w:rFonts w:ascii="宋体" w:hAnsi="宋体"/>
          <w:sz w:val="24"/>
        </w:rPr>
        <w:sectPr>
          <w:pgSz w:w="16838" w:h="11906" w:orient="landscape"/>
          <w:pgMar w:top="1797" w:right="1440" w:bottom="1797" w:left="1440" w:header="851" w:footer="992" w:gutter="0"/>
          <w:cols w:space="720" w:num="1"/>
          <w:docGrid w:linePitch="312" w:charSpace="0"/>
        </w:sectPr>
      </w:pPr>
      <w:r>
        <w:rPr>
          <w:rFonts w:hint="eastAsia" w:ascii="宋体" w:hAnsi="宋体"/>
          <w:bCs/>
          <w:sz w:val="24"/>
        </w:rPr>
        <w:t xml:space="preserve"> 报价人代表签字：</w:t>
      </w:r>
      <w:r>
        <w:rPr>
          <w:rFonts w:hint="eastAsia" w:ascii="宋体" w:hAnsi="宋体"/>
          <w:bCs/>
          <w:sz w:val="24"/>
          <w:u w:val="single"/>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正中黑简体">
    <w:altName w:val="微软雅黑"/>
    <w:panose1 w:val="02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Qtk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hRDOFhp9+fD/9&#10;fDj9+kbG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tC2T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2CB706"/>
    <w:multiLevelType w:val="singleLevel"/>
    <w:tmpl w:val="0C2CB706"/>
    <w:lvl w:ilvl="0" w:tentative="0">
      <w:start w:val="2"/>
      <w:numFmt w:val="decimal"/>
      <w:lvlText w:val="%1."/>
      <w:lvlJc w:val="left"/>
      <w:pPr>
        <w:tabs>
          <w:tab w:val="left" w:pos="312"/>
        </w:tabs>
      </w:pPr>
    </w:lvl>
  </w:abstractNum>
  <w:abstractNum w:abstractNumId="1">
    <w:nsid w:val="62D55CC9"/>
    <w:multiLevelType w:val="multilevel"/>
    <w:tmpl w:val="62D55CC9"/>
    <w:lvl w:ilvl="0" w:tentative="0">
      <w:start w:val="1"/>
      <w:numFmt w:val="decimal"/>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5"/>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AD3173F"/>
    <w:rsid w:val="000B5420"/>
    <w:rsid w:val="001C620D"/>
    <w:rsid w:val="001F4439"/>
    <w:rsid w:val="00281EFA"/>
    <w:rsid w:val="0030486F"/>
    <w:rsid w:val="004915DE"/>
    <w:rsid w:val="00496EF9"/>
    <w:rsid w:val="005309F4"/>
    <w:rsid w:val="006B66D2"/>
    <w:rsid w:val="007A47A8"/>
    <w:rsid w:val="007D07F4"/>
    <w:rsid w:val="007E2D55"/>
    <w:rsid w:val="0080215F"/>
    <w:rsid w:val="00822BFE"/>
    <w:rsid w:val="00885C5B"/>
    <w:rsid w:val="00A7468B"/>
    <w:rsid w:val="00AB7141"/>
    <w:rsid w:val="00B952B1"/>
    <w:rsid w:val="00BB2714"/>
    <w:rsid w:val="00BD75A8"/>
    <w:rsid w:val="00BE4038"/>
    <w:rsid w:val="00BF4164"/>
    <w:rsid w:val="00C40BFC"/>
    <w:rsid w:val="00CB4D25"/>
    <w:rsid w:val="00E4116E"/>
    <w:rsid w:val="00E60F1F"/>
    <w:rsid w:val="00F27083"/>
    <w:rsid w:val="00F83F86"/>
    <w:rsid w:val="00FA1B75"/>
    <w:rsid w:val="00FB036A"/>
    <w:rsid w:val="01DA23AF"/>
    <w:rsid w:val="03836A76"/>
    <w:rsid w:val="04D72BD5"/>
    <w:rsid w:val="068154EF"/>
    <w:rsid w:val="07762B7A"/>
    <w:rsid w:val="085673C3"/>
    <w:rsid w:val="08A400E0"/>
    <w:rsid w:val="09BF540F"/>
    <w:rsid w:val="0B7F2538"/>
    <w:rsid w:val="0BCB36FB"/>
    <w:rsid w:val="0D3050BA"/>
    <w:rsid w:val="0ED4462A"/>
    <w:rsid w:val="0F704352"/>
    <w:rsid w:val="10D012C8"/>
    <w:rsid w:val="110F2AC8"/>
    <w:rsid w:val="150957FF"/>
    <w:rsid w:val="158C17BA"/>
    <w:rsid w:val="15D46BD0"/>
    <w:rsid w:val="18BE3CDD"/>
    <w:rsid w:val="18C354F3"/>
    <w:rsid w:val="19500BF6"/>
    <w:rsid w:val="1A745694"/>
    <w:rsid w:val="1B544B28"/>
    <w:rsid w:val="1B6D5BEA"/>
    <w:rsid w:val="1BEC1765"/>
    <w:rsid w:val="1CB02A05"/>
    <w:rsid w:val="1DA13912"/>
    <w:rsid w:val="1E0D56D6"/>
    <w:rsid w:val="1E7337F8"/>
    <w:rsid w:val="1EE1557E"/>
    <w:rsid w:val="210B129B"/>
    <w:rsid w:val="211D59BC"/>
    <w:rsid w:val="243600E0"/>
    <w:rsid w:val="245142FB"/>
    <w:rsid w:val="24EF141E"/>
    <w:rsid w:val="264F6618"/>
    <w:rsid w:val="2AD3173F"/>
    <w:rsid w:val="2C043A01"/>
    <w:rsid w:val="2D0924D8"/>
    <w:rsid w:val="2E5C3FC8"/>
    <w:rsid w:val="2EBC48D4"/>
    <w:rsid w:val="3115045E"/>
    <w:rsid w:val="33FD7EEC"/>
    <w:rsid w:val="3620417B"/>
    <w:rsid w:val="370C5FAB"/>
    <w:rsid w:val="3A63681B"/>
    <w:rsid w:val="3C3E2F5F"/>
    <w:rsid w:val="3D9C280C"/>
    <w:rsid w:val="3F6C393F"/>
    <w:rsid w:val="451560BB"/>
    <w:rsid w:val="47436B76"/>
    <w:rsid w:val="48063426"/>
    <w:rsid w:val="48943F06"/>
    <w:rsid w:val="4B4E2A92"/>
    <w:rsid w:val="4B833D7E"/>
    <w:rsid w:val="4CCB05BE"/>
    <w:rsid w:val="4D2E62F6"/>
    <w:rsid w:val="4E0336C0"/>
    <w:rsid w:val="4E9C3B15"/>
    <w:rsid w:val="4ED26B0B"/>
    <w:rsid w:val="4F277882"/>
    <w:rsid w:val="4F750567"/>
    <w:rsid w:val="4F9273F2"/>
    <w:rsid w:val="4FAB2261"/>
    <w:rsid w:val="500068AD"/>
    <w:rsid w:val="50DB6B76"/>
    <w:rsid w:val="525E220E"/>
    <w:rsid w:val="528A1DDF"/>
    <w:rsid w:val="528B1EB5"/>
    <w:rsid w:val="54427383"/>
    <w:rsid w:val="547A1F18"/>
    <w:rsid w:val="56AD2D63"/>
    <w:rsid w:val="5B266C40"/>
    <w:rsid w:val="5BC95A17"/>
    <w:rsid w:val="5BCA7F4A"/>
    <w:rsid w:val="5D861C18"/>
    <w:rsid w:val="5E2C6C63"/>
    <w:rsid w:val="5E902B82"/>
    <w:rsid w:val="60592F95"/>
    <w:rsid w:val="60E3372F"/>
    <w:rsid w:val="62C05BCC"/>
    <w:rsid w:val="63857653"/>
    <w:rsid w:val="64F12CBC"/>
    <w:rsid w:val="65FF4C5D"/>
    <w:rsid w:val="66CD4D5B"/>
    <w:rsid w:val="670E3D2C"/>
    <w:rsid w:val="681635B8"/>
    <w:rsid w:val="68BA3C91"/>
    <w:rsid w:val="6BE4292B"/>
    <w:rsid w:val="6BE55866"/>
    <w:rsid w:val="6C223454"/>
    <w:rsid w:val="6CBF59DD"/>
    <w:rsid w:val="6F983402"/>
    <w:rsid w:val="73CB43D1"/>
    <w:rsid w:val="74024296"/>
    <w:rsid w:val="74337C2D"/>
    <w:rsid w:val="744E128A"/>
    <w:rsid w:val="75D5244D"/>
    <w:rsid w:val="76067942"/>
    <w:rsid w:val="761B3E5E"/>
    <w:rsid w:val="774B1AB0"/>
    <w:rsid w:val="787E5CCD"/>
    <w:rsid w:val="78AF3E58"/>
    <w:rsid w:val="78B655FC"/>
    <w:rsid w:val="7A3408DA"/>
    <w:rsid w:val="7ACC2147"/>
    <w:rsid w:val="7C66060B"/>
    <w:rsid w:val="7F531E4A"/>
    <w:rsid w:val="7F913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TW" w:bidi="ar-SA"/>
    </w:rPr>
  </w:style>
  <w:style w:type="paragraph" w:styleId="3">
    <w:name w:val="heading 2"/>
    <w:basedOn w:val="1"/>
    <w:next w:val="4"/>
    <w:qFormat/>
    <w:uiPriority w:val="0"/>
    <w:pPr>
      <w:keepNext/>
      <w:keepLines/>
      <w:numPr>
        <w:ilvl w:val="1"/>
        <w:numId w:val="1"/>
      </w:numPr>
      <w:spacing w:line="360" w:lineRule="auto"/>
      <w:jc w:val="center"/>
      <w:outlineLvl w:val="1"/>
    </w:pPr>
    <w:rPr>
      <w:rFonts w:ascii="Arial" w:hAnsi="Arial" w:eastAsia="黑体"/>
      <w:bCs/>
      <w:kern w:val="0"/>
      <w:sz w:val="32"/>
      <w:szCs w:val="32"/>
    </w:rPr>
  </w:style>
  <w:style w:type="paragraph" w:styleId="5">
    <w:name w:val="heading 3"/>
    <w:basedOn w:val="1"/>
    <w:next w:val="1"/>
    <w:qFormat/>
    <w:uiPriority w:val="0"/>
    <w:pPr>
      <w:keepNext/>
      <w:keepLines/>
      <w:numPr>
        <w:ilvl w:val="2"/>
        <w:numId w:val="1"/>
      </w:numPr>
      <w:spacing w:line="360" w:lineRule="auto"/>
      <w:jc w:val="center"/>
      <w:outlineLvl w:val="2"/>
    </w:pPr>
    <w:rPr>
      <w:rFonts w:eastAsia="黑体"/>
      <w:bCs/>
      <w:kern w:val="0"/>
      <w:sz w:val="30"/>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rPr>
      <w:rFonts w:ascii="宋体" w:hAnsi="宋体" w:cs="宋体"/>
      <w:sz w:val="21"/>
      <w:szCs w:val="21"/>
      <w:lang w:val="zh-CN" w:eastAsia="zh-CN" w:bidi="zh-CN"/>
    </w:rPr>
  </w:style>
  <w:style w:type="paragraph" w:styleId="4">
    <w:name w:val="Normal Indent"/>
    <w:basedOn w:val="1"/>
    <w:qFormat/>
    <w:uiPriority w:val="0"/>
    <w:pPr>
      <w:ind w:firstLine="420"/>
    </w:pPr>
    <w:rPr>
      <w:szCs w:val="20"/>
    </w:rPr>
  </w:style>
  <w:style w:type="paragraph" w:styleId="6">
    <w:name w:val="Balloon Text"/>
    <w:basedOn w:val="1"/>
    <w:link w:val="19"/>
    <w:qFormat/>
    <w:uiPriority w:val="0"/>
    <w:rPr>
      <w:sz w:val="18"/>
      <w:szCs w:val="18"/>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22"/>
    <w:rPr>
      <w:b/>
      <w:bCs/>
    </w:rPr>
  </w:style>
  <w:style w:type="character" w:styleId="13">
    <w:name w:val="page number"/>
    <w:basedOn w:val="11"/>
    <w:qFormat/>
    <w:uiPriority w:val="0"/>
  </w:style>
  <w:style w:type="paragraph" w:customStyle="1" w:styleId="14">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15">
    <w:name w:val="font31"/>
    <w:basedOn w:val="11"/>
    <w:qFormat/>
    <w:uiPriority w:val="0"/>
    <w:rPr>
      <w:rFonts w:hint="eastAsia" w:ascii="宋体" w:hAnsi="宋体" w:eastAsia="宋体" w:cs="宋体"/>
      <w:color w:val="000000"/>
      <w:sz w:val="24"/>
      <w:szCs w:val="24"/>
      <w:u w:val="none"/>
    </w:rPr>
  </w:style>
  <w:style w:type="character" w:customStyle="1" w:styleId="16">
    <w:name w:val="font41"/>
    <w:basedOn w:val="11"/>
    <w:qFormat/>
    <w:uiPriority w:val="0"/>
    <w:rPr>
      <w:rFonts w:ascii="Calibri" w:hAnsi="Calibri" w:cs="Calibri"/>
      <w:color w:val="000000"/>
      <w:sz w:val="24"/>
      <w:szCs w:val="24"/>
      <w:u w:val="none"/>
    </w:rPr>
  </w:style>
  <w:style w:type="paragraph" w:customStyle="1" w:styleId="17">
    <w:name w:val="正文 New New New New New New New New New New New New New New New New New New New New New New New New New New New New New New New New New New New New New New New New New New New New New New"/>
    <w:qFormat/>
    <w:uiPriority w:val="0"/>
    <w:pPr>
      <w:widowControl w:val="0"/>
      <w:topLinePunct/>
      <w:jc w:val="both"/>
    </w:pPr>
    <w:rPr>
      <w:rFonts w:ascii="Times New Roman" w:hAnsi="Times New Roman" w:eastAsia="宋体" w:cs="Times New Roman"/>
      <w:kern w:val="2"/>
      <w:sz w:val="21"/>
      <w:lang w:val="en-US" w:eastAsia="zh-CN" w:bidi="ar-SA"/>
    </w:rPr>
  </w:style>
  <w:style w:type="paragraph" w:customStyle="1" w:styleId="18">
    <w:name w:val="Table Paragraph"/>
    <w:basedOn w:val="1"/>
    <w:qFormat/>
    <w:uiPriority w:val="1"/>
    <w:rPr>
      <w:rFonts w:ascii="黑体" w:hAnsi="黑体" w:eastAsia="黑体" w:cs="黑体"/>
      <w:lang w:val="zh-CN" w:eastAsia="zh-CN" w:bidi="zh-CN"/>
    </w:rPr>
  </w:style>
  <w:style w:type="character" w:customStyle="1" w:styleId="19">
    <w:name w:val="批注框文本 字符"/>
    <w:basedOn w:val="11"/>
    <w:link w:val="6"/>
    <w:qFormat/>
    <w:uiPriority w:val="0"/>
    <w:rPr>
      <w:kern w:val="2"/>
      <w:sz w:val="18"/>
      <w:szCs w:val="18"/>
      <w:lang w:eastAsia="zh-TW"/>
    </w:rPr>
  </w:style>
  <w:style w:type="paragraph" w:customStyle="1" w:styleId="20">
    <w:name w:val="a"/>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http://www.xitongtiandi.com</Company>
  <Pages>13</Pages>
  <Words>6057</Words>
  <Characters>6426</Characters>
  <Lines>37</Lines>
  <Paragraphs>10</Paragraphs>
  <TotalTime>16</TotalTime>
  <ScaleCrop>false</ScaleCrop>
  <LinksUpToDate>false</LinksUpToDate>
  <CharactersWithSpaces>6808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2022-09-07T07:29:00Z</dcterms:created>
  <dc:creator>知足常le</dc:creator>
  <cp:lastModifiedBy>svfly</cp:lastModifiedBy>
  <cp:lastPrinted>2022-09-29T00:34:00Z</cp:lastPrinted>
  <dcterms:modified xsi:type="dcterms:W3CDTF">2022-10-08T03:12:53Z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C46EA46131F045449DD5B881329BBA03</vt:lpwstr>
  </property>
</Properties>
</file>