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00" w:lineRule="exact"/>
        <w:rPr>
          <w:rFonts w:ascii="方正仿宋_GBK" w:hAnsi="方正仿宋_GBK" w:eastAsia="方正仿宋_GBK" w:cs="方正仿宋_GBK"/>
          <w:sz w:val="44"/>
          <w:szCs w:val="44"/>
        </w:rPr>
      </w:pPr>
      <w:r>
        <w:rPr>
          <w:rFonts w:hint="eastAsia" w:ascii="方正仿宋_GBK" w:hAnsi="方正仿宋_GBK" w:eastAsia="方正仿宋_GBK" w:cs="方正仿宋_GBK"/>
          <w:sz w:val="44"/>
          <w:szCs w:val="44"/>
        </w:rPr>
        <w:t>厦门医学院附属口腔医院</w:t>
      </w:r>
    </w:p>
    <w:p>
      <w:pPr>
        <w:pStyle w:val="3"/>
        <w:spacing w:line="500" w:lineRule="exact"/>
        <w:rPr>
          <w:rFonts w:ascii="方正仿宋_GBK" w:hAnsi="方正仿宋_GBK" w:eastAsia="方正仿宋_GBK" w:cs="方正仿宋_GBK"/>
          <w:sz w:val="44"/>
          <w:szCs w:val="44"/>
        </w:rPr>
      </w:pPr>
      <w:r>
        <w:rPr>
          <w:rFonts w:hint="eastAsia" w:ascii="方正仿宋_GBK" w:hAnsi="方正仿宋_GBK" w:eastAsia="方正仿宋_GBK" w:cs="方正仿宋_GBK"/>
          <w:sz w:val="44"/>
          <w:szCs w:val="44"/>
        </w:rPr>
        <w:t>UPS不间断电源</w:t>
      </w:r>
      <w:r>
        <w:rPr>
          <w:rFonts w:hint="eastAsia" w:ascii="方正仿宋_GBK" w:hAnsi="方正仿宋_GBK" w:eastAsia="方正仿宋_GBK" w:cs="方正仿宋_GBK"/>
          <w:sz w:val="44"/>
          <w:szCs w:val="44"/>
          <w:lang w:eastAsia="zh-CN"/>
        </w:rPr>
        <w:t>需求内容</w:t>
      </w:r>
    </w:p>
    <w:p>
      <w:pPr>
        <w:ind w:firstLine="643" w:firstLineChars="200"/>
        <w:rPr>
          <w:rFonts w:ascii="仿宋" w:hAnsi="仿宋" w:eastAsia="仿宋" w:cs="仿宋"/>
          <w:b/>
          <w:bCs/>
          <w:color w:val="000000"/>
          <w:sz w:val="32"/>
          <w:szCs w:val="32"/>
        </w:rPr>
      </w:pPr>
      <w:bookmarkStart w:id="0" w:name="_Toc53131174"/>
    </w:p>
    <w:p>
      <w:pPr>
        <w:ind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一、招标人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zh-CN"/>
        </w:rPr>
        <w:t>厦门医学院附属口腔医院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>
      <w:pPr>
        <w:ind w:firstLine="643" w:firstLineChars="200"/>
        <w:rPr>
          <w:rFonts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二、招标内容：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采购3台</w:t>
      </w:r>
      <w:r>
        <w:rPr>
          <w:rFonts w:hint="eastAsia" w:ascii="仿宋" w:hAnsi="仿宋" w:eastAsia="仿宋" w:cs="仿宋"/>
          <w:color w:val="000000"/>
          <w:sz w:val="32"/>
          <w:szCs w:val="32"/>
          <w:lang w:val="zh-CN"/>
        </w:rPr>
        <w:t>UPS主机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容量为10KVA，用于手术室和消控室，确保双电源切换过程用电不中断，最大程度降低投入成本。本次采购包含施工安装（含辅材）1项。</w:t>
      </w:r>
    </w:p>
    <w:bookmarkEnd w:id="0"/>
    <w:p>
      <w:pPr>
        <w:pStyle w:val="2"/>
        <w:ind w:firstLine="643" w:firstLineChars="200"/>
        <w:rPr>
          <w:rFonts w:hint="default" w:ascii="仿宋" w:hAnsi="仿宋" w:eastAsia="仿宋" w:cs="仿宋"/>
          <w:b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  <w:lang w:val="en-US" w:eastAsia="zh-CN" w:bidi="ar-SA"/>
        </w:rPr>
        <w:t>三、服务要求</w:t>
      </w:r>
    </w:p>
    <w:p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1.成交供应商提供至少每季度1次的例行保养工作，其中包括对设备机件的安全及功能清洁、调整、检查。若由于</w:t>
      </w:r>
      <w:bookmarkStart w:id="1" w:name="_GoBack"/>
      <w:bookmarkEnd w:id="1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成交供应商在维保工作过程中损坏设备时，成交供应商应免费修复。 </w:t>
      </w:r>
    </w:p>
    <w:p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2.成交供应商发现有可能损害或影响设备运行安全或质量的因素时，将立即向采购人报告并商议整改方案。 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3.成交供应商对设备提供全年 24 小时供应服务，质保期内服务响应时间不大于4小时，并且免费上门服务。 </w:t>
      </w:r>
    </w:p>
    <w:p>
      <w:pPr>
        <w:pStyle w:val="2"/>
        <w:ind w:firstLine="640" w:firstLineChars="200"/>
        <w:rPr>
          <w:rFonts w:hint="eastAsia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4.成交供应商免费对采购人操作管理人员进行使用、保养理论及实践方面的培训，一年不少于一次。 </w:t>
      </w:r>
    </w:p>
    <w:p>
      <w:pPr>
        <w:ind w:firstLine="643" w:firstLineChars="200"/>
        <w:rPr>
          <w:rFonts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、投标文件组成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1.投标声明、公司介绍。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2.投标报价。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3.投标人资格证明文件,如：营业执照、组织机构代码、纳税证明等。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4.质量保障措施，如：质量管理体系认证书，及其它相关体系认证证书。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5.服务承诺。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 保修期。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7.投标人实施的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类似项目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证明材料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复印件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（近三年的合同、发票复印件、中标通知书或官方网站中标链接）。</w:t>
      </w:r>
    </w:p>
    <w:p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8.交货期：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>合同签订后30天内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eastAsia="zh-CN"/>
        </w:rPr>
        <w:t>完成送货安装</w:t>
      </w:r>
    </w:p>
    <w:p>
      <w:pPr>
        <w:ind w:firstLine="643" w:firstLineChars="200"/>
        <w:rPr>
          <w:rFonts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、技术参数要求</w:t>
      </w:r>
    </w:p>
    <w:tbl>
      <w:tblPr>
        <w:tblStyle w:val="6"/>
        <w:tblW w:w="924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862"/>
        <w:gridCol w:w="5347"/>
        <w:gridCol w:w="658"/>
        <w:gridCol w:w="772"/>
        <w:gridCol w:w="8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1"/>
                <w:szCs w:val="21"/>
              </w:rPr>
              <w:t>名称</w:t>
            </w:r>
          </w:p>
        </w:tc>
        <w:tc>
          <w:tcPr>
            <w:tcW w:w="5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cs="宋体" w:asciiTheme="minorEastAsia" w:hAnsi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1"/>
                <w:szCs w:val="21"/>
              </w:rPr>
              <w:t>技术要求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1"/>
                <w:szCs w:val="21"/>
              </w:rPr>
              <w:t>数量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1"/>
                <w:szCs w:val="21"/>
              </w:rPr>
              <w:t>单位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1"/>
                <w:szCs w:val="21"/>
              </w:rPr>
              <w:t>单价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No.1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UPS</w:t>
            </w:r>
          </w:p>
        </w:tc>
        <w:tc>
          <w:tcPr>
            <w:tcW w:w="5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1、UPS产品应采用数字化控制技术、三电平技术和高频电源变换技术，具有体积小、性能高、可靠性高等特点，使得节能效益显著，大幅减少运营成本；（投标方需提供所投产品的彩页资料）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2、输入电压范围：120～275Vac；（投标方需提供所投产品的彩页或样本证明）</w:t>
            </w:r>
          </w:p>
          <w:p>
            <w:pPr>
              <w:spacing w:line="240" w:lineRule="auto"/>
              <w:jc w:val="left"/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3、输入功率因数：100%非线性负载：≥0.99；输入电流谐波：100%非线性负载：＜5%；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4、整机输入频率要求适应50Hz/60Hz的电源频率输入，无需增加任何技术升级收费及选配件，即可满足现场应用要求；（投标方需提供所投产品的彩页或样本证明）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5、输出电压精度：220±1%；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6、输出有功功率应 ≥额定容量×0.9 kW/kVA即输出PF≥0.9，输出端可带更多负载；（要求提供检验报告证明，原件备查）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 xml:space="preserve">7、过载能力：125%维持≥1分钟；（投标方需要提供检测报告证明，原件备查） 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 xml:space="preserve">8、整机UPS效率：100%阻性负载：≥90%；（投标方需要提供检验报告证明，原件备查） 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9、为了现场安装方便， 10kVA产品应采用接线排，便于安装；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10、人机操作界面：10kVA产品应具有LCD蓝色背光宽屏液晶显示屏，可流程化显示UPS主机的工作模式、工作参数与用户的负载量、电池剩余容量等状态，方便用户对设备进行管理；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11、UPS输入保护：10kVA产品应配备有市电输入和旁路输入微型断路器；保护设备运行安全可靠；（投标方需提供所投产品的图片证明）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12、所投产品标配RS232通信，能够实现通信互联；还可以选配USB通信、SNMP卡、干接点等多类型接口，以实现ups主机监控需求；（投标方需提供所投产品的彩页或样本证明）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13、主机具有EPO接口，可在紧急情况实现远程控制，切断ups交流输出，确保安全；（投标方需提供所投产品的彩页或样本证明）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14报警功能：具备电池低压、市电异常、UPS故障、输出过载、输出短路报警功能；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15、主机输出电压有四个档位，分别为208V、220V、230V、240V输出可调，适应不同负载应用；（投标方需提供所投产品的彩页或样本证明）</w:t>
            </w:r>
          </w:p>
          <w:p>
            <w:pPr>
              <w:spacing w:line="240" w:lineRule="auto"/>
              <w:jc w:val="left"/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16、10kVA产品电池节数调节范围不小于16~20节，且单节可调，防止单节电池出现故障，能快速去除该电池并最大程度保证系统后备时间；（投标方需提供所投产品的彩页或样本证明）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台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No.2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蓄电池（</w:t>
            </w:r>
            <w:r>
              <w:rPr>
                <w:rFonts w:hint="eastAsia" w:cs="宋体" w:asciiTheme="minorEastAsia" w:hAnsiTheme="minorEastAsia"/>
                <w:b/>
                <w:kern w:val="0"/>
                <w:sz w:val="21"/>
                <w:szCs w:val="21"/>
              </w:rPr>
              <w:t>核心设备</w:t>
            </w: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）</w:t>
            </w:r>
          </w:p>
        </w:tc>
        <w:tc>
          <w:tcPr>
            <w:tcW w:w="5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38AH/12V，铅酸蓄电池；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1、蓄电池采用吸附式玻璃纤维隔板技术，气体复合效率达到99%。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2、要求蓄电池可提供阻燃槽盖，使电池更安全且具有更长的寿命。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3、设计寿命：要求蓄电池浮充设计寿命可达6年以上（25℃）。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4、极小的自放电电流：要求蓄电池自放电所造成的容量损失每月小于4％。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5、充电过程中：要求均充至90%以上容量时应进入浮充使电池达到最大容量。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48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节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No.3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手术室过道电池柜</w:t>
            </w:r>
          </w:p>
        </w:tc>
        <w:tc>
          <w:tcPr>
            <w:tcW w:w="5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1、每个安装32节38安时电池，不含输入输出线材；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2、尺寸：</w:t>
            </w: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  <w:lang w:val="en-US" w:eastAsia="zh-CN"/>
              </w:rPr>
              <w:t>不少于</w:t>
            </w: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780*470*1180mm；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台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No.4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消控室电池柜</w:t>
            </w:r>
          </w:p>
        </w:tc>
        <w:tc>
          <w:tcPr>
            <w:tcW w:w="5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1、每个安装16节38安时电池，不含输入输出线材；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2、尺寸：</w:t>
            </w: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  <w:lang w:val="en-US" w:eastAsia="zh-CN"/>
              </w:rPr>
              <w:t>不少于</w:t>
            </w: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780*470*610mm；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台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No.5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ups配线及辅材</w:t>
            </w:r>
          </w:p>
        </w:tc>
        <w:tc>
          <w:tcPr>
            <w:tcW w:w="5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工程配套：ups与配电箱及电池柜之间电源跳线及压接端子；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套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No.6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ups装配调试</w:t>
            </w:r>
          </w:p>
        </w:tc>
        <w:tc>
          <w:tcPr>
            <w:tcW w:w="5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工程配套装配服务；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项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No.7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电源线</w:t>
            </w:r>
          </w:p>
        </w:tc>
        <w:tc>
          <w:tcPr>
            <w:tcW w:w="5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1、手术室1、2配电箱与ups配电箱间动力电缆，采用国标BV5*10平电源线；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2、每卷长度100米，长度误差不大于正负5米；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卷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No.8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电源线</w:t>
            </w:r>
          </w:p>
        </w:tc>
        <w:tc>
          <w:tcPr>
            <w:tcW w:w="5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1、复苏室配电箱与ups配电箱间动力电缆，采用国标BV3*6平电源线；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2、每卷长度100米，长度误差不大于正负5米；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卷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No.9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手术室ups配电箱</w:t>
            </w:r>
          </w:p>
        </w:tc>
        <w:tc>
          <w:tcPr>
            <w:tcW w:w="5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1、每台ups各配置3个2p63a空开，一共配置9个；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2、手术室两台ups公用配电箱，规格</w:t>
            </w: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  <w:lang w:val="en-US" w:eastAsia="zh-CN"/>
              </w:rPr>
              <w:t>不少于</w:t>
            </w: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400*300*200mm；厚度1.2mm；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3、消控室ups对应原配电箱空开更换为满足负载要求的2p63a空开；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套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No.10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手术室配电改造施工</w:t>
            </w:r>
          </w:p>
        </w:tc>
        <w:tc>
          <w:tcPr>
            <w:tcW w:w="5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1、线路改造及敷设；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2、根据现场各支路实际负载合理分配调整，实现三相负债均衡安全用电；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3、根据业主要求梳理ups需求支路原有调整配电箱；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项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No.11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保修期</w:t>
            </w:r>
          </w:p>
        </w:tc>
        <w:tc>
          <w:tcPr>
            <w:tcW w:w="5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设备服务：在原厂质保基础上，延长质保时间，</w:t>
            </w: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  <w:lang w:val="en-US" w:eastAsia="zh-CN"/>
              </w:rPr>
              <w:t>质保加延保共5年，</w:t>
            </w: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服务标准不低于原厂质保标准；为确保原厂服务，投标人应提供投标产品制造商项目授权书及售后服务承诺函；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eastAsia="宋体" w:cs="宋体" w:ascii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年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eastAsia="宋体" w:cs="宋体" w:asciiTheme="minorEastAsia" w:hAnsi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1"/>
                <w:szCs w:val="21"/>
                <w:lang w:val="en-US" w:eastAsia="zh-CN"/>
              </w:rPr>
              <w:t>合计总价</w:t>
            </w:r>
          </w:p>
        </w:tc>
        <w:tc>
          <w:tcPr>
            <w:tcW w:w="2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cs="宋体" w:asciiTheme="minorEastAsia" w:hAnsiTheme="minorEastAsia"/>
                <w:kern w:val="0"/>
                <w:sz w:val="21"/>
                <w:szCs w:val="21"/>
              </w:rPr>
            </w:pPr>
          </w:p>
        </w:tc>
      </w:tr>
    </w:tbl>
    <w:p>
      <w:pPr>
        <w:ind w:firstLine="560" w:firstLineChars="200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欢迎符合条件的供应商参加投标，供应商的响应文件对</w:t>
      </w:r>
      <w:r>
        <w:rPr>
          <w:rFonts w:hint="eastAsia" w:asciiTheme="minorEastAsia" w:hAnsiTheme="minorEastAsia"/>
          <w:sz w:val="28"/>
          <w:szCs w:val="28"/>
          <w:lang w:eastAsia="zh-CN"/>
        </w:rPr>
        <w:t>需求内容</w:t>
      </w:r>
      <w:r>
        <w:rPr>
          <w:rFonts w:hint="eastAsia" w:asciiTheme="minorEastAsia" w:hAnsiTheme="minorEastAsia"/>
          <w:sz w:val="28"/>
          <w:szCs w:val="28"/>
        </w:rPr>
        <w:t>中</w:t>
      </w:r>
      <w:r>
        <w:rPr>
          <w:rFonts w:hint="eastAsia" w:asciiTheme="minorEastAsia" w:hAnsiTheme="minorEastAsia"/>
          <w:b/>
          <w:bCs/>
          <w:sz w:val="28"/>
          <w:szCs w:val="28"/>
        </w:rPr>
        <w:t>三、服务要求</w:t>
      </w:r>
      <w:r>
        <w:rPr>
          <w:rFonts w:hint="eastAsia" w:asciiTheme="minorEastAsia" w:hAnsiTheme="minorEastAsia"/>
          <w:sz w:val="28"/>
          <w:szCs w:val="28"/>
          <w:lang w:eastAsia="zh-CN"/>
        </w:rPr>
        <w:t>和</w:t>
      </w: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五</w:t>
      </w:r>
      <w:r>
        <w:rPr>
          <w:rFonts w:hint="eastAsia" w:asciiTheme="minorEastAsia" w:hAnsiTheme="minorEastAsia"/>
          <w:b/>
          <w:bCs/>
          <w:sz w:val="28"/>
          <w:szCs w:val="28"/>
        </w:rPr>
        <w:t>、技术参数要求</w:t>
      </w:r>
      <w:r>
        <w:rPr>
          <w:rFonts w:hint="eastAsia" w:asciiTheme="minorEastAsia" w:hAnsiTheme="minorEastAsia"/>
          <w:sz w:val="28"/>
          <w:szCs w:val="28"/>
        </w:rPr>
        <w:t>的实质性不满足或负偏离达3项的，按无效响应处理。</w:t>
      </w:r>
    </w:p>
    <w:p>
      <w:pPr>
        <w:rPr>
          <w:rFonts w:hint="eastAsia" w:asciiTheme="minorEastAsia" w:hAnsiTheme="minorEastAsia"/>
          <w:sz w:val="28"/>
          <w:szCs w:val="28"/>
          <w:lang w:val="en-US" w:eastAsia="zh-CN"/>
        </w:rPr>
      </w:pPr>
    </w:p>
    <w:p>
      <w:pPr>
        <w:pStyle w:val="2"/>
        <w:rPr>
          <w:rFonts w:hint="eastAsia"/>
        </w:rPr>
      </w:pPr>
    </w:p>
    <w:p>
      <w:pPr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br w:type="page"/>
      </w:r>
    </w:p>
    <w:p>
      <w:pPr>
        <w:pStyle w:val="2"/>
        <w:rPr>
          <w:rFonts w:hint="eastAsia"/>
        </w:rPr>
        <w:sectPr>
          <w:footerReference r:id="rId5" w:type="default"/>
          <w:pgSz w:w="11906" w:h="16838"/>
          <w:pgMar w:top="1440" w:right="1797" w:bottom="1440" w:left="1797" w:header="851" w:footer="992" w:gutter="0"/>
          <w:cols w:space="720" w:num="1"/>
          <w:docGrid w:linePitch="312" w:charSpace="0"/>
        </w:sectPr>
      </w:pPr>
    </w:p>
    <w:p>
      <w:pPr>
        <w:rPr>
          <w:rFonts w:hint="eastAsia"/>
        </w:rPr>
      </w:pPr>
    </w:p>
    <w:p>
      <w:pPr>
        <w:spacing w:line="360" w:lineRule="auto"/>
        <w:jc w:val="center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技术规格和商务偏离表</w:t>
      </w:r>
    </w:p>
    <w:p>
      <w:pPr>
        <w:spacing w:line="360" w:lineRule="auto"/>
        <w:rPr>
          <w:rFonts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报价人名称（全程并加盖公章）：</w:t>
      </w:r>
      <w:r>
        <w:rPr>
          <w:rFonts w:hint="eastAsia" w:ascii="宋体" w:hAnsi="宋体"/>
          <w:bCs/>
          <w:sz w:val="24"/>
          <w:u w:val="single"/>
        </w:rPr>
        <w:t xml:space="preserve">                  </w:t>
      </w:r>
      <w:r>
        <w:rPr>
          <w:rFonts w:hint="eastAsia" w:ascii="宋体" w:hAnsi="宋体"/>
          <w:bCs/>
          <w:sz w:val="24"/>
        </w:rPr>
        <w:t>项目编号：</w:t>
      </w:r>
      <w:r>
        <w:rPr>
          <w:rFonts w:hint="eastAsia" w:ascii="宋体" w:hAnsi="宋体"/>
          <w:bCs/>
          <w:sz w:val="24"/>
          <w:u w:val="single"/>
        </w:rPr>
        <w:t xml:space="preserve">      </w:t>
      </w:r>
    </w:p>
    <w:tbl>
      <w:tblPr>
        <w:tblStyle w:val="6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440"/>
        <w:gridCol w:w="1800"/>
        <w:gridCol w:w="2340"/>
        <w:gridCol w:w="2880"/>
        <w:gridCol w:w="1386"/>
        <w:gridCol w:w="3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6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采购文件要求</w:t>
            </w:r>
          </w:p>
        </w:tc>
        <w:tc>
          <w:tcPr>
            <w:tcW w:w="8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谈判响应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合同包/品目号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货物名称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规格条目号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采购文件要求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谈判响应情况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谈判响应对应的页码</w:t>
            </w:r>
          </w:p>
        </w:tc>
        <w:tc>
          <w:tcPr>
            <w:tcW w:w="3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</w:tbl>
    <w:p>
      <w:pPr>
        <w:spacing w:line="360" w:lineRule="auto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注：1.报价人根据采购要求逐条说明谈判响应情况。</w:t>
      </w:r>
    </w:p>
    <w:p>
      <w:pPr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2.</w:t>
      </w:r>
      <w:r>
        <w:rPr>
          <w:rFonts w:hint="eastAsia" w:ascii="宋体" w:hAnsi="宋体"/>
          <w:sz w:val="24"/>
        </w:rPr>
        <w:t xml:space="preserve"> 报价</w:t>
      </w:r>
      <w:r>
        <w:rPr>
          <w:rFonts w:hint="eastAsia" w:ascii="宋体" w:hAnsi="宋体" w:cs="宋体"/>
          <w:kern w:val="0"/>
          <w:sz w:val="24"/>
          <w:szCs w:val="24"/>
        </w:rPr>
        <w:t>人应对采购文件中的“*”号条款进行逐条响应，否则评审专家对其报价做出不利评审，报价人必须自行承担责任</w:t>
      </w:r>
      <w:r>
        <w:rPr>
          <w:rFonts w:hint="eastAsia" w:ascii="宋体" w:hAnsi="宋体"/>
          <w:bCs/>
          <w:sz w:val="24"/>
        </w:rPr>
        <w:t>。报价人存在弄虚作假行为的，将依法承担响应的法律责任。</w:t>
      </w:r>
    </w:p>
    <w:p>
      <w:pPr>
        <w:spacing w:line="360" w:lineRule="auto"/>
        <w:jc w:val="center"/>
        <w:rPr>
          <w:rFonts w:ascii="宋体" w:hAnsi="宋体"/>
          <w:bCs/>
          <w:sz w:val="24"/>
        </w:rPr>
      </w:pPr>
    </w:p>
    <w:p>
      <w:pPr>
        <w:spacing w:line="360" w:lineRule="auto"/>
        <w:rPr>
          <w:rFonts w:ascii="宋体" w:hAnsi="宋体"/>
          <w:sz w:val="24"/>
        </w:rPr>
        <w:sectPr>
          <w:pgSz w:w="16838" w:h="11906" w:orient="landscape"/>
          <w:pgMar w:top="1797" w:right="1440" w:bottom="1797" w:left="1440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/>
          <w:bCs/>
          <w:sz w:val="24"/>
        </w:rPr>
        <w:t xml:space="preserve"> 报价人代表签字：</w:t>
      </w:r>
      <w:r>
        <w:rPr>
          <w:rFonts w:hint="eastAsia" w:ascii="宋体" w:hAnsi="宋体"/>
          <w:bCs/>
          <w:sz w:val="24"/>
          <w:u w:val="single"/>
        </w:rPr>
        <w:t xml:space="preserve">          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宋体" w:hAnsi="宋体"/>
      </w:rPr>
    </w:pPr>
    <w:r>
      <w:rPr>
        <w:rFonts w:hint="eastAsia"/>
      </w:rPr>
      <w:t xml:space="preserve">                                             </w:t>
    </w:r>
    <w:r>
      <w:rPr>
        <w:rFonts w:hint="eastAsia" w:ascii="宋体" w:hAnsi="宋体"/>
      </w:rPr>
      <w:t xml:space="preserve">                           </w:t>
    </w:r>
    <w:r>
      <w:rPr>
        <w:rStyle w:val="8"/>
        <w:rFonts w:hint="eastAsia" w:ascii="宋体" w:hAnsi="宋体"/>
      </w:rPr>
      <w:t>第</w:t>
    </w:r>
    <w:r>
      <w:rPr>
        <w:rFonts w:ascii="宋体" w:hAnsi="宋体"/>
      </w:rPr>
      <w:fldChar w:fldCharType="begin"/>
    </w:r>
    <w:r>
      <w:rPr>
        <w:rStyle w:val="8"/>
        <w:rFonts w:ascii="宋体" w:hAnsi="宋体"/>
      </w:rPr>
      <w:instrText xml:space="preserve"> PAGE </w:instrText>
    </w:r>
    <w:r>
      <w:rPr>
        <w:rFonts w:ascii="宋体" w:hAnsi="宋体"/>
      </w:rPr>
      <w:fldChar w:fldCharType="separate"/>
    </w:r>
    <w:r>
      <w:rPr>
        <w:rStyle w:val="8"/>
        <w:rFonts w:ascii="宋体" w:hAnsi="宋体"/>
      </w:rPr>
      <w:t>57</w:t>
    </w:r>
    <w:r>
      <w:rPr>
        <w:rFonts w:ascii="宋体" w:hAnsi="宋体"/>
      </w:rPr>
      <w:fldChar w:fldCharType="end"/>
    </w:r>
    <w:r>
      <w:rPr>
        <w:rStyle w:val="8"/>
        <w:rFonts w:hint="eastAsia" w:ascii="宋体" w:hAnsi="宋体"/>
      </w:rPr>
      <w:t>页，共</w:t>
    </w:r>
    <w:r>
      <w:rPr>
        <w:rFonts w:ascii="宋体" w:hAnsi="宋体"/>
      </w:rPr>
      <w:fldChar w:fldCharType="begin"/>
    </w:r>
    <w:r>
      <w:rPr>
        <w:rStyle w:val="8"/>
        <w:rFonts w:ascii="宋体" w:hAnsi="宋体"/>
      </w:rPr>
      <w:instrText xml:space="preserve"> NUMPAGES </w:instrText>
    </w:r>
    <w:r>
      <w:rPr>
        <w:rFonts w:ascii="宋体" w:hAnsi="宋体"/>
      </w:rPr>
      <w:fldChar w:fldCharType="separate"/>
    </w:r>
    <w:r>
      <w:rPr>
        <w:rStyle w:val="8"/>
        <w:rFonts w:ascii="宋体" w:hAnsi="宋体"/>
      </w:rPr>
      <w:t>78</w:t>
    </w:r>
    <w:r>
      <w:rPr>
        <w:rFonts w:ascii="宋体" w:hAnsi="宋体"/>
      </w:rPr>
      <w:fldChar w:fldCharType="end"/>
    </w:r>
    <w:r>
      <w:rPr>
        <w:rStyle w:val="8"/>
        <w:rFonts w:hint="eastAsia" w:ascii="宋体" w:hAnsi="宋体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07CE07C4"/>
    <w:rsid w:val="00292D26"/>
    <w:rsid w:val="002E3D2B"/>
    <w:rsid w:val="00385D1D"/>
    <w:rsid w:val="00503F4F"/>
    <w:rsid w:val="0073418C"/>
    <w:rsid w:val="007531B2"/>
    <w:rsid w:val="00ED3AEE"/>
    <w:rsid w:val="00F55A0A"/>
    <w:rsid w:val="00F652D5"/>
    <w:rsid w:val="00F863D1"/>
    <w:rsid w:val="00FA33E6"/>
    <w:rsid w:val="04592F5B"/>
    <w:rsid w:val="07245E7A"/>
    <w:rsid w:val="07CE07C4"/>
    <w:rsid w:val="111C2029"/>
    <w:rsid w:val="1408372F"/>
    <w:rsid w:val="19B93EAC"/>
    <w:rsid w:val="1D175E0D"/>
    <w:rsid w:val="20390782"/>
    <w:rsid w:val="24182AD1"/>
    <w:rsid w:val="263C2CEF"/>
    <w:rsid w:val="2F9B0771"/>
    <w:rsid w:val="37471AB4"/>
    <w:rsid w:val="398335FC"/>
    <w:rsid w:val="3D6805E9"/>
    <w:rsid w:val="4081674A"/>
    <w:rsid w:val="43870FF3"/>
    <w:rsid w:val="48140CFE"/>
    <w:rsid w:val="4E8217BA"/>
    <w:rsid w:val="4F9F491D"/>
    <w:rsid w:val="52B957F7"/>
    <w:rsid w:val="578D691A"/>
    <w:rsid w:val="59034B7C"/>
    <w:rsid w:val="5BE14297"/>
    <w:rsid w:val="644E0084"/>
    <w:rsid w:val="65E16EB8"/>
    <w:rsid w:val="6A9060DB"/>
    <w:rsid w:val="76927895"/>
    <w:rsid w:val="790F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宋体" w:hAnsi="Times New Roman" w:eastAsia="宋体" w:cs="Times New Roman"/>
      <w:kern w:val="2"/>
      <w:sz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tabs>
        <w:tab w:val="center" w:pos="4535"/>
      </w:tabs>
      <w:spacing w:before="120" w:after="120" w:line="578" w:lineRule="auto"/>
      <w:jc w:val="center"/>
      <w:outlineLvl w:val="0"/>
    </w:pPr>
    <w:rPr>
      <w:b/>
      <w:kern w:val="44"/>
      <w:sz w:val="28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hAnsi="宋体" w:cs="宋体"/>
      <w:sz w:val="21"/>
      <w:szCs w:val="21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2289</Words>
  <Characters>2561</Characters>
  <Lines>3</Lines>
  <Paragraphs>5</Paragraphs>
  <TotalTime>11</TotalTime>
  <ScaleCrop>false</ScaleCrop>
  <LinksUpToDate>false</LinksUpToDate>
  <CharactersWithSpaces>2609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2022-09-08T01:24:00Z</dcterms:created>
  <dc:creator>知足常le</dc:creator>
  <cp:lastModifiedBy>svfly</cp:lastModifiedBy>
  <cp:lastPrinted>2022-09-13T07:23:00Z</cp:lastPrinted>
  <dcterms:modified xsi:type="dcterms:W3CDTF">2022-09-23T03:38:13Z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78E599F02DB945FCA9D757A8C350504E</vt:lpwstr>
  </property>
</Properties>
</file>