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rPr>
      </w:pPr>
      <w:r>
        <w:rPr>
          <w:rFonts w:hint="eastAsia" w:ascii="方正小标宋简体" w:eastAsia="方正小标宋简体"/>
          <w:sz w:val="44"/>
          <w:szCs w:val="44"/>
          <w:lang w:eastAsia="zh-CN"/>
        </w:rPr>
        <w:t>需求内容</w:t>
      </w:r>
      <w:r>
        <w:rPr>
          <w:rFonts w:hint="eastAsia" w:ascii="方正小标宋简体" w:eastAsia="方正小标宋简体"/>
          <w:sz w:val="44"/>
          <w:szCs w:val="44"/>
        </w:rPr>
        <w:t>-集美院区开业宣传画册一批</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为配合医院集美院区开业工作，充分展现集美院区建筑、医疗特色，进一步提高医院知名度、美誉度，塑造医院品牌形象，拟组织制作集美院区开业宣传画册，具体需求如下：</w:t>
      </w:r>
    </w:p>
    <w:p>
      <w:pPr>
        <w:spacing w:line="580" w:lineRule="exact"/>
        <w:ind w:firstLine="640" w:firstLineChars="200"/>
        <w:jc w:val="left"/>
        <w:rPr>
          <w:rFonts w:ascii="黑体" w:hAnsi="黑体" w:eastAsia="黑体"/>
          <w:sz w:val="32"/>
          <w:szCs w:val="32"/>
        </w:rPr>
      </w:pPr>
      <w:r>
        <w:rPr>
          <w:rFonts w:hint="eastAsia" w:ascii="黑体" w:hAnsi="黑体" w:eastAsia="黑体"/>
          <w:sz w:val="32"/>
          <w:szCs w:val="32"/>
        </w:rPr>
        <w:t>一、项目名称</w:t>
      </w:r>
    </w:p>
    <w:p>
      <w:pPr>
        <w:spacing w:line="580" w:lineRule="exact"/>
        <w:ind w:firstLine="640" w:firstLineChars="200"/>
        <w:jc w:val="left"/>
        <w:rPr>
          <w:rFonts w:hint="eastAsia" w:ascii="仿宋_GB2312" w:eastAsia="仿宋_GB2312"/>
          <w:sz w:val="32"/>
          <w:szCs w:val="32"/>
        </w:rPr>
      </w:pPr>
      <w:r>
        <w:rPr>
          <w:rFonts w:hint="eastAsia" w:ascii="仿宋_GB2312" w:eastAsia="仿宋_GB2312"/>
          <w:sz w:val="32"/>
          <w:szCs w:val="32"/>
        </w:rPr>
        <w:t>集美院区开业宣传画册一批</w:t>
      </w:r>
    </w:p>
    <w:p>
      <w:pPr>
        <w:spacing w:line="580" w:lineRule="exact"/>
        <w:ind w:firstLine="640" w:firstLineChars="200"/>
        <w:jc w:val="left"/>
        <w:rPr>
          <w:rFonts w:ascii="黑体" w:hAnsi="黑体" w:eastAsia="黑体"/>
          <w:sz w:val="32"/>
          <w:szCs w:val="32"/>
        </w:rPr>
      </w:pPr>
      <w:r>
        <w:rPr>
          <w:rFonts w:hint="eastAsia" w:ascii="黑体" w:hAnsi="黑体" w:eastAsia="黑体"/>
          <w:sz w:val="32"/>
          <w:szCs w:val="32"/>
        </w:rPr>
        <w:t>二、项目要求</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（一）画册分为若干篇章，包括医院总体介绍、院区介绍、团队介绍、院区环境、交通指引等内容，需包含蔡塘院区、斗西院区、集美院区全景照片，有效展示院区特色。</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（二）内页不少于</w:t>
      </w:r>
      <w:r>
        <w:rPr>
          <w:rFonts w:ascii="仿宋_GB2312" w:eastAsia="仿宋_GB2312"/>
          <w:sz w:val="32"/>
          <w:szCs w:val="32"/>
        </w:rPr>
        <w:t>40</w:t>
      </w:r>
      <w:r>
        <w:rPr>
          <w:rFonts w:hint="eastAsia" w:ascii="仿宋_GB2312" w:eastAsia="仿宋_GB2312"/>
          <w:sz w:val="32"/>
          <w:szCs w:val="32"/>
        </w:rPr>
        <w:t>页，全彩印刷，印数不少于2</w:t>
      </w:r>
      <w:r>
        <w:rPr>
          <w:rFonts w:ascii="仿宋_GB2312" w:eastAsia="仿宋_GB2312"/>
          <w:sz w:val="32"/>
          <w:szCs w:val="32"/>
        </w:rPr>
        <w:t>00</w:t>
      </w:r>
      <w:r>
        <w:rPr>
          <w:rFonts w:hint="eastAsia" w:ascii="仿宋_GB2312" w:eastAsia="仿宋_GB2312"/>
          <w:sz w:val="32"/>
          <w:szCs w:val="32"/>
        </w:rPr>
        <w:t>本。</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（三）供应商要负责全书策划、拍摄、文案编辑、排版、装帧设计、校对、审读、打样、印刷、运输等具体事宜。</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（四）宣传画册的尺寸、材质、装订不限，策划设计要求美观，具备创意及原创性，文字、表格、字体、标点符号必须符合国家有关部门的规定及印刷出版要求，差错率不得高于万分之一。</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（五）需</w:t>
      </w:r>
      <w:r>
        <w:rPr>
          <w:rFonts w:ascii="仿宋_GB2312" w:eastAsia="仿宋_GB2312"/>
          <w:sz w:val="32"/>
          <w:szCs w:val="32"/>
        </w:rPr>
        <w:t>提供</w:t>
      </w:r>
      <w:r>
        <w:rPr>
          <w:rFonts w:hint="eastAsia" w:ascii="仿宋_GB2312" w:eastAsia="仿宋_GB2312"/>
          <w:sz w:val="32"/>
          <w:szCs w:val="32"/>
        </w:rPr>
        <w:t>明确</w:t>
      </w:r>
      <w:r>
        <w:rPr>
          <w:rFonts w:ascii="仿宋_GB2312" w:eastAsia="仿宋_GB2312"/>
          <w:sz w:val="32"/>
          <w:szCs w:val="32"/>
        </w:rPr>
        <w:t>策划思路</w:t>
      </w:r>
      <w:r>
        <w:rPr>
          <w:rFonts w:hint="eastAsia" w:ascii="仿宋_GB2312" w:eastAsia="仿宋_GB2312"/>
          <w:sz w:val="32"/>
          <w:szCs w:val="32"/>
        </w:rPr>
        <w:t>方案，宣传画册的尺寸、材质、装订均需提供实物展示。</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（六）中标供应商</w:t>
      </w:r>
      <w:r>
        <w:rPr>
          <w:rFonts w:hint="eastAsia" w:ascii="仿宋_GB2312" w:eastAsia="仿宋_GB2312"/>
          <w:sz w:val="32"/>
          <w:szCs w:val="32"/>
          <w:lang w:eastAsia="zh-CN"/>
        </w:rPr>
        <w:t>应在合同签订后</w:t>
      </w:r>
      <w:r>
        <w:rPr>
          <w:rFonts w:hint="eastAsia" w:ascii="仿宋_GB2312" w:eastAsia="仿宋_GB2312"/>
          <w:sz w:val="32"/>
          <w:szCs w:val="32"/>
          <w:lang w:val="en-US" w:eastAsia="zh-CN"/>
        </w:rPr>
        <w:t>15天内交货</w:t>
      </w:r>
      <w:r>
        <w:rPr>
          <w:rFonts w:hint="eastAsia" w:ascii="仿宋_GB2312" w:eastAsia="仿宋_GB2312"/>
          <w:sz w:val="32"/>
          <w:szCs w:val="32"/>
        </w:rPr>
        <w:t>要，同时设计成稿及内容版权归属医院。</w:t>
      </w:r>
    </w:p>
    <w:p>
      <w:pPr>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（七）供应商</w:t>
      </w:r>
      <w:r>
        <w:rPr>
          <w:rFonts w:ascii="仿宋_GB2312" w:eastAsia="仿宋_GB2312"/>
          <w:sz w:val="32"/>
          <w:szCs w:val="32"/>
        </w:rPr>
        <w:t>应确保设计创意的独立性、新颖性，并确保不再使用或授权他人以相同、类似的方式使用本次工作成果的内容和创意。本</w:t>
      </w:r>
      <w:r>
        <w:rPr>
          <w:rFonts w:hint="eastAsia" w:ascii="仿宋_GB2312" w:eastAsia="仿宋_GB2312"/>
          <w:sz w:val="32"/>
          <w:szCs w:val="32"/>
        </w:rPr>
        <w:t>项目作品成品、素材</w:t>
      </w:r>
      <w:r>
        <w:rPr>
          <w:rFonts w:ascii="仿宋_GB2312" w:eastAsia="仿宋_GB2312"/>
          <w:sz w:val="32"/>
          <w:szCs w:val="32"/>
        </w:rPr>
        <w:t>的著作权（署名权除外）、版权等知识产权和所有权益归招标人所有。招标人同意，中标人可以宣传自身工作业绩为目的，对本合同范围作品进行合理使用，但中标人不得擅自修改。</w:t>
      </w:r>
    </w:p>
    <w:p>
      <w:pPr>
        <w:spacing w:line="580" w:lineRule="exact"/>
        <w:ind w:firstLine="640" w:firstLineChars="200"/>
        <w:jc w:val="left"/>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、对应标制作单位的要求</w:t>
      </w:r>
    </w:p>
    <w:p>
      <w:pPr>
        <w:spacing w:line="580" w:lineRule="exact"/>
        <w:ind w:firstLine="640" w:firstLineChars="200"/>
        <w:jc w:val="left"/>
        <w:rPr>
          <w:rFonts w:ascii="仿宋_GB2312" w:eastAsia="仿宋_GB2312"/>
          <w:sz w:val="32"/>
          <w:szCs w:val="32"/>
        </w:rPr>
      </w:pPr>
      <w:r>
        <w:rPr>
          <w:rFonts w:ascii="仿宋_GB2312" w:eastAsia="仿宋_GB2312"/>
          <w:sz w:val="32"/>
          <w:szCs w:val="32"/>
        </w:rPr>
        <w:t>（一）企业资质要求：</w:t>
      </w:r>
    </w:p>
    <w:p>
      <w:pPr>
        <w:spacing w:line="580" w:lineRule="exact"/>
        <w:ind w:firstLine="640" w:firstLineChars="200"/>
        <w:jc w:val="left"/>
        <w:rPr>
          <w:rFonts w:ascii="仿宋_GB2312" w:eastAsia="仿宋_GB2312"/>
          <w:sz w:val="32"/>
          <w:szCs w:val="32"/>
        </w:rPr>
      </w:pPr>
      <w:r>
        <w:rPr>
          <w:rFonts w:ascii="仿宋_GB2312" w:eastAsia="仿宋_GB2312"/>
          <w:sz w:val="32"/>
          <w:szCs w:val="32"/>
        </w:rPr>
        <w:t>1、独立企业法人机构；</w:t>
      </w:r>
    </w:p>
    <w:p>
      <w:pPr>
        <w:spacing w:line="580" w:lineRule="exact"/>
        <w:ind w:firstLine="640" w:firstLineChars="200"/>
        <w:jc w:val="left"/>
        <w:rPr>
          <w:rFonts w:ascii="仿宋_GB2312" w:eastAsia="仿宋_GB2312"/>
          <w:sz w:val="32"/>
          <w:szCs w:val="32"/>
        </w:rPr>
      </w:pPr>
      <w:r>
        <w:rPr>
          <w:rFonts w:ascii="仿宋_GB2312" w:eastAsia="仿宋_GB2312"/>
          <w:sz w:val="32"/>
          <w:szCs w:val="32"/>
        </w:rPr>
        <w:t xml:space="preserve">2、有国家相关部门颁发的经营许可证书。 </w:t>
      </w:r>
    </w:p>
    <w:p>
      <w:pPr>
        <w:spacing w:line="580" w:lineRule="exact"/>
        <w:ind w:firstLine="640" w:firstLineChars="200"/>
        <w:jc w:val="left"/>
        <w:rPr>
          <w:rFonts w:ascii="仿宋_GB2312" w:eastAsia="仿宋_GB2312"/>
          <w:sz w:val="32"/>
          <w:szCs w:val="32"/>
        </w:rPr>
      </w:pPr>
      <w:r>
        <w:rPr>
          <w:rFonts w:ascii="仿宋_GB2312" w:eastAsia="仿宋_GB2312"/>
          <w:sz w:val="32"/>
          <w:szCs w:val="32"/>
        </w:rPr>
        <w:t>（二）业绩要求：</w:t>
      </w:r>
    </w:p>
    <w:p>
      <w:pPr>
        <w:spacing w:line="580" w:lineRule="exact"/>
        <w:ind w:firstLine="640" w:firstLineChars="200"/>
        <w:jc w:val="left"/>
        <w:rPr>
          <w:rFonts w:ascii="仿宋_GB2312" w:eastAsia="仿宋_GB2312"/>
          <w:sz w:val="32"/>
          <w:szCs w:val="32"/>
        </w:rPr>
      </w:pPr>
      <w:r>
        <w:rPr>
          <w:rFonts w:ascii="仿宋_GB2312" w:eastAsia="仿宋_GB2312"/>
          <w:sz w:val="32"/>
          <w:szCs w:val="32"/>
        </w:rPr>
        <w:t>1、公司成立3年以上，有较高的市场信誉度</w:t>
      </w:r>
      <w:r>
        <w:rPr>
          <w:rFonts w:hint="eastAsia" w:ascii="仿宋_GB2312" w:eastAsia="仿宋_GB2312"/>
          <w:sz w:val="32"/>
          <w:szCs w:val="32"/>
        </w:rPr>
        <w:t>，</w:t>
      </w:r>
      <w:r>
        <w:rPr>
          <w:rFonts w:ascii="仿宋_GB2312" w:eastAsia="仿宋_GB2312"/>
          <w:sz w:val="32"/>
          <w:szCs w:val="32"/>
        </w:rPr>
        <w:t>拥有</w:t>
      </w:r>
      <w:r>
        <w:rPr>
          <w:rFonts w:hint="eastAsia" w:ascii="仿宋_GB2312" w:eastAsia="仿宋_GB2312"/>
          <w:sz w:val="32"/>
          <w:szCs w:val="32"/>
        </w:rPr>
        <w:t>专业策划、设计、文案、摄影人员等组成的</w:t>
      </w:r>
      <w:r>
        <w:rPr>
          <w:rFonts w:ascii="仿宋_GB2312" w:eastAsia="仿宋_GB2312"/>
          <w:sz w:val="32"/>
          <w:szCs w:val="32"/>
        </w:rPr>
        <w:t>高效执行力团队。</w:t>
      </w:r>
    </w:p>
    <w:p>
      <w:pPr>
        <w:spacing w:line="580" w:lineRule="exact"/>
        <w:ind w:firstLine="640" w:firstLineChars="200"/>
        <w:jc w:val="left"/>
        <w:rPr>
          <w:rFonts w:ascii="仿宋_GB2312" w:eastAsia="仿宋_GB2312"/>
          <w:sz w:val="32"/>
          <w:szCs w:val="32"/>
        </w:rPr>
      </w:pPr>
      <w:r>
        <w:rPr>
          <w:rFonts w:ascii="仿宋_GB2312" w:eastAsia="仿宋_GB2312"/>
          <w:sz w:val="32"/>
          <w:szCs w:val="32"/>
        </w:rPr>
        <w:t>2、有成功的同类产品策划设计的案例，同时需提供</w:t>
      </w:r>
      <w:r>
        <w:rPr>
          <w:rFonts w:hint="eastAsia" w:ascii="仿宋_GB2312" w:eastAsia="仿宋_GB2312"/>
          <w:sz w:val="32"/>
          <w:szCs w:val="32"/>
        </w:rPr>
        <w:t>案例</w:t>
      </w:r>
      <w:r>
        <w:rPr>
          <w:rFonts w:ascii="仿宋_GB2312" w:eastAsia="仿宋_GB2312"/>
          <w:sz w:val="32"/>
          <w:szCs w:val="32"/>
        </w:rPr>
        <w:t>电子版</w:t>
      </w:r>
      <w:r>
        <w:rPr>
          <w:rFonts w:hint="eastAsia" w:ascii="仿宋_GB2312" w:eastAsia="仿宋_GB2312"/>
          <w:sz w:val="32"/>
          <w:szCs w:val="32"/>
        </w:rPr>
        <w:t>或实物</w:t>
      </w:r>
      <w:r>
        <w:rPr>
          <w:rFonts w:ascii="仿宋_GB2312" w:eastAsia="仿宋_GB2312"/>
          <w:sz w:val="32"/>
          <w:szCs w:val="32"/>
        </w:rPr>
        <w:t>。</w:t>
      </w:r>
    </w:p>
    <w:p>
      <w:pPr>
        <w:spacing w:line="580" w:lineRule="exact"/>
        <w:ind w:firstLine="640" w:firstLineChars="200"/>
        <w:jc w:val="left"/>
        <w:rPr>
          <w:rFonts w:ascii="仿宋_GB2312" w:eastAsia="仿宋_GB2312"/>
          <w:sz w:val="32"/>
          <w:szCs w:val="32"/>
        </w:rPr>
        <w:sectPr>
          <w:pgSz w:w="11906" w:h="16838"/>
          <w:pgMar w:top="1440" w:right="1800" w:bottom="1440" w:left="1800" w:header="851" w:footer="992" w:gutter="0"/>
          <w:cols w:space="425" w:num="1"/>
          <w:docGrid w:type="lines" w:linePitch="312" w:charSpace="0"/>
        </w:sectPr>
      </w:pPr>
    </w:p>
    <w:p>
      <w:pPr>
        <w:spacing w:line="580" w:lineRule="exact"/>
        <w:ind w:firstLine="640" w:firstLineChars="200"/>
        <w:jc w:val="left"/>
        <w:rPr>
          <w:rFonts w:ascii="仿宋_GB2312" w:eastAsia="仿宋_GB2312"/>
          <w:sz w:val="32"/>
          <w:szCs w:val="32"/>
        </w:rPr>
      </w:pPr>
    </w:p>
    <w:p>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集美院区开业宣传画册评分表</w:t>
      </w:r>
    </w:p>
    <w:p>
      <w:pPr>
        <w:pStyle w:val="6"/>
      </w:pPr>
    </w:p>
    <w:tbl>
      <w:tblPr>
        <w:tblStyle w:val="7"/>
        <w:tblW w:w="8392"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754"/>
        <w:gridCol w:w="1176"/>
        <w:gridCol w:w="5285"/>
        <w:gridCol w:w="1177"/>
      </w:tblGrid>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754" w:type="dxa"/>
            <w:tcBorders>
              <w:top w:val="thinThickSmallGap" w:color="auto" w:sz="18" w:space="0"/>
              <w:left w:val="thinThickSmallGap" w:color="auto" w:sz="18"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序号</w:t>
            </w:r>
          </w:p>
        </w:tc>
        <w:tc>
          <w:tcPr>
            <w:tcW w:w="1176" w:type="dxa"/>
            <w:tcBorders>
              <w:top w:val="thinThickSmallGap" w:color="auto" w:sz="18" w:space="0"/>
              <w:left w:val="single" w:color="auto" w:sz="6"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评审分值</w:t>
            </w:r>
          </w:p>
        </w:tc>
        <w:tc>
          <w:tcPr>
            <w:tcW w:w="5285" w:type="dxa"/>
            <w:tcBorders>
              <w:top w:val="thinThickSmallGap" w:color="auto" w:sz="18" w:space="0"/>
              <w:left w:val="single" w:color="auto" w:sz="6"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评审方法描述</w:t>
            </w:r>
          </w:p>
        </w:tc>
        <w:tc>
          <w:tcPr>
            <w:tcW w:w="1177" w:type="dxa"/>
            <w:tcBorders>
              <w:top w:val="thinThickSmallGap" w:color="auto" w:sz="18" w:space="0"/>
              <w:left w:val="single" w:color="auto" w:sz="6" w:space="0"/>
              <w:bottom w:val="single" w:color="auto" w:sz="6" w:space="0"/>
              <w:right w:val="thickThinSmallGap" w:color="auto" w:sz="18"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得分</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754" w:type="dxa"/>
            <w:tcBorders>
              <w:top w:val="single" w:color="auto" w:sz="6" w:space="0"/>
              <w:left w:val="thinThickSmallGap" w:color="auto" w:sz="18"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1</w:t>
            </w:r>
          </w:p>
        </w:tc>
        <w:tc>
          <w:tcPr>
            <w:tcW w:w="1176" w:type="dxa"/>
            <w:tcBorders>
              <w:top w:val="single" w:color="auto" w:sz="6" w:space="0"/>
              <w:left w:val="single" w:color="auto" w:sz="6"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ascii="宋体" w:hAnsi="宋体"/>
                <w:bCs/>
                <w:sz w:val="24"/>
                <w:szCs w:val="32"/>
              </w:rPr>
              <w:t>10</w:t>
            </w:r>
          </w:p>
        </w:tc>
        <w:tc>
          <w:tcPr>
            <w:tcW w:w="5285" w:type="dxa"/>
            <w:tcBorders>
              <w:top w:val="single" w:color="auto" w:sz="6" w:space="0"/>
              <w:left w:val="single" w:color="auto" w:sz="6" w:space="0"/>
              <w:bottom w:val="single" w:color="auto" w:sz="6" w:space="0"/>
              <w:right w:val="single" w:color="auto" w:sz="6" w:space="0"/>
            </w:tcBorders>
            <w:vAlign w:val="center"/>
          </w:tcPr>
          <w:p>
            <w:pPr>
              <w:rPr>
                <w:szCs w:val="24"/>
              </w:rPr>
            </w:pPr>
            <w:r>
              <w:rPr>
                <w:rFonts w:hint="eastAsia"/>
              </w:rPr>
              <w:t>供应商对项目理解准确，项目需求了解透彻，能够提供一套厦门医学院附属口腔医院集美院区开业宣传画册的基本策划思路方案，有效展示院区特色。能够提供具体策划思路方案的得</w:t>
            </w:r>
            <w:r>
              <w:t>5</w:t>
            </w:r>
            <w:r>
              <w:rPr>
                <w:rFonts w:hint="eastAsia"/>
              </w:rPr>
              <w:t>分，策划方案包含总体设计风格、尺寸、材质、装帧等效果图的得</w:t>
            </w:r>
            <w:r>
              <w:t>8</w:t>
            </w:r>
            <w:r>
              <w:rPr>
                <w:rFonts w:hint="eastAsia"/>
              </w:rPr>
              <w:t>分，提供尺寸、材质、装帧相关实物展示的得</w:t>
            </w:r>
            <w:r>
              <w:t>10</w:t>
            </w:r>
            <w:r>
              <w:rPr>
                <w:rFonts w:hint="eastAsia"/>
              </w:rPr>
              <w:t>分。</w:t>
            </w:r>
          </w:p>
        </w:tc>
        <w:tc>
          <w:tcPr>
            <w:tcW w:w="1177" w:type="dxa"/>
            <w:tcBorders>
              <w:top w:val="single" w:color="auto" w:sz="6" w:space="0"/>
              <w:left w:val="single" w:color="auto" w:sz="6" w:space="0"/>
              <w:bottom w:val="single" w:color="auto" w:sz="6" w:space="0"/>
              <w:right w:val="thickThinSmallGap" w:color="auto" w:sz="18" w:space="0"/>
            </w:tcBorders>
            <w:vAlign w:val="center"/>
          </w:tcPr>
          <w:p>
            <w:pPr>
              <w:spacing w:before="156" w:beforeLines="50" w:after="156"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754" w:type="dxa"/>
            <w:tcBorders>
              <w:top w:val="single" w:color="auto" w:sz="6" w:space="0"/>
              <w:left w:val="thinThickSmallGap" w:color="auto" w:sz="18"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2</w:t>
            </w:r>
          </w:p>
        </w:tc>
        <w:tc>
          <w:tcPr>
            <w:tcW w:w="1176" w:type="dxa"/>
            <w:tcBorders>
              <w:top w:val="single" w:color="auto" w:sz="6" w:space="0"/>
              <w:left w:val="single" w:color="auto" w:sz="6"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ascii="宋体" w:hAnsi="宋体"/>
                <w:bCs/>
                <w:sz w:val="24"/>
                <w:szCs w:val="32"/>
              </w:rPr>
              <w:t>20</w:t>
            </w:r>
          </w:p>
        </w:tc>
        <w:tc>
          <w:tcPr>
            <w:tcW w:w="5285" w:type="dxa"/>
            <w:tcBorders>
              <w:top w:val="single" w:color="auto" w:sz="6" w:space="0"/>
              <w:left w:val="single" w:color="auto" w:sz="6" w:space="0"/>
              <w:bottom w:val="single" w:color="auto" w:sz="6" w:space="0"/>
              <w:right w:val="single" w:color="auto" w:sz="6" w:space="0"/>
            </w:tcBorders>
            <w:vAlign w:val="center"/>
          </w:tcPr>
          <w:p>
            <w:pPr>
              <w:rPr>
                <w:rFonts w:ascii="宋体" w:hAnsi="宋体"/>
                <w:bCs/>
                <w:szCs w:val="32"/>
              </w:rPr>
            </w:pPr>
            <w:r>
              <w:rPr>
                <w:rFonts w:hint="eastAsia"/>
              </w:rPr>
              <w:t>供应商能提供全书策划、拍摄（必须包含蔡塘院区、斗西院区、集美院区全景照片拍摄及修图）、文案编辑、排版、装帧设计、校对、审读、打样、印刷、运输等具体事宜服务的，得2</w:t>
            </w:r>
            <w:r>
              <w:t>0</w:t>
            </w:r>
            <w:r>
              <w:rPr>
                <w:rFonts w:hint="eastAsia"/>
              </w:rPr>
              <w:t>分，每少1项服务扣2分。</w:t>
            </w:r>
          </w:p>
        </w:tc>
        <w:tc>
          <w:tcPr>
            <w:tcW w:w="1177" w:type="dxa"/>
            <w:tcBorders>
              <w:top w:val="single" w:color="auto" w:sz="6" w:space="0"/>
              <w:left w:val="single" w:color="auto" w:sz="6" w:space="0"/>
              <w:bottom w:val="single" w:color="auto" w:sz="6" w:space="0"/>
              <w:right w:val="thickThinSmallGap" w:color="auto" w:sz="18" w:space="0"/>
            </w:tcBorders>
            <w:vAlign w:val="center"/>
          </w:tcPr>
          <w:p>
            <w:pPr>
              <w:spacing w:before="156" w:beforeLines="50" w:after="156"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754" w:type="dxa"/>
            <w:tcBorders>
              <w:top w:val="single" w:color="auto" w:sz="6" w:space="0"/>
              <w:left w:val="thinThickSmallGap" w:color="auto" w:sz="18"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3</w:t>
            </w:r>
          </w:p>
        </w:tc>
        <w:tc>
          <w:tcPr>
            <w:tcW w:w="1176" w:type="dxa"/>
            <w:tcBorders>
              <w:top w:val="single" w:color="auto" w:sz="6" w:space="0"/>
              <w:left w:val="single" w:color="auto" w:sz="6"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ascii="宋体" w:hAnsi="宋体"/>
                <w:bCs/>
                <w:sz w:val="24"/>
                <w:szCs w:val="32"/>
              </w:rPr>
              <w:t>20</w:t>
            </w:r>
          </w:p>
        </w:tc>
        <w:tc>
          <w:tcPr>
            <w:tcW w:w="5285" w:type="dxa"/>
            <w:tcBorders>
              <w:top w:val="single" w:color="auto" w:sz="6" w:space="0"/>
              <w:left w:val="single" w:color="auto" w:sz="6" w:space="0"/>
              <w:bottom w:val="single" w:color="auto" w:sz="6" w:space="0"/>
              <w:right w:val="single" w:color="auto" w:sz="6" w:space="0"/>
            </w:tcBorders>
            <w:vAlign w:val="center"/>
          </w:tcPr>
          <w:p>
            <w:r>
              <w:rPr>
                <w:rFonts w:hint="eastAsia"/>
              </w:rPr>
              <w:t>供应商策划设计美观，具备创意及原创性，能够保证文字、表格、字体、标点符号能够保证符合国家有关部门的规定及印刷出版要求，差错率不得高于万分之一；确保设计创意的独立性、新颖性，本项目作品成品、素材的著作权（署名权除外）、版权等知识产权和所有权益归招标人所有。</w:t>
            </w:r>
          </w:p>
        </w:tc>
        <w:tc>
          <w:tcPr>
            <w:tcW w:w="1177" w:type="dxa"/>
            <w:tcBorders>
              <w:top w:val="single" w:color="auto" w:sz="6" w:space="0"/>
              <w:left w:val="single" w:color="auto" w:sz="6" w:space="0"/>
              <w:bottom w:val="single" w:color="auto" w:sz="6" w:space="0"/>
              <w:right w:val="thickThinSmallGap" w:color="auto" w:sz="18" w:space="0"/>
            </w:tcBorders>
            <w:vAlign w:val="center"/>
          </w:tcPr>
          <w:p>
            <w:pPr>
              <w:spacing w:before="156" w:beforeLines="50" w:after="156"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754" w:type="dxa"/>
            <w:tcBorders>
              <w:top w:val="single" w:color="auto" w:sz="6" w:space="0"/>
              <w:left w:val="thinThickSmallGap" w:color="auto" w:sz="18"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4</w:t>
            </w:r>
          </w:p>
        </w:tc>
        <w:tc>
          <w:tcPr>
            <w:tcW w:w="1176" w:type="dxa"/>
            <w:tcBorders>
              <w:top w:val="single" w:color="auto" w:sz="6" w:space="0"/>
              <w:left w:val="single" w:color="auto" w:sz="6"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ascii="宋体" w:hAnsi="宋体"/>
                <w:bCs/>
                <w:sz w:val="24"/>
                <w:szCs w:val="32"/>
              </w:rPr>
              <w:t>10</w:t>
            </w:r>
          </w:p>
        </w:tc>
        <w:tc>
          <w:tcPr>
            <w:tcW w:w="5285" w:type="dxa"/>
            <w:tcBorders>
              <w:top w:val="single" w:color="auto" w:sz="6" w:space="0"/>
              <w:left w:val="single" w:color="auto" w:sz="6" w:space="0"/>
              <w:bottom w:val="single" w:color="auto" w:sz="6" w:space="0"/>
              <w:right w:val="single" w:color="auto" w:sz="6" w:space="0"/>
            </w:tcBorders>
            <w:vAlign w:val="center"/>
          </w:tcPr>
          <w:p>
            <w:r>
              <w:rPr>
                <w:rFonts w:hint="eastAsia"/>
              </w:rPr>
              <w:t>供应商拥有相关资质，成立3年以上的，拥有专业策划、设计、文案、摄影等人员的，得</w:t>
            </w:r>
            <w:r>
              <w:t>10</w:t>
            </w:r>
            <w:r>
              <w:rPr>
                <w:rFonts w:hint="eastAsia"/>
              </w:rPr>
              <w:t>分。无资质的，得0分。有资质但成立时间短于3年的，得</w:t>
            </w:r>
            <w:r>
              <w:t>5</w:t>
            </w:r>
            <w:r>
              <w:rPr>
                <w:rFonts w:hint="eastAsia"/>
              </w:rPr>
              <w:t>分。有资质且成立时间大于3年但没有提供团队人员介绍的，得7分。</w:t>
            </w:r>
          </w:p>
        </w:tc>
        <w:tc>
          <w:tcPr>
            <w:tcW w:w="1177" w:type="dxa"/>
            <w:tcBorders>
              <w:top w:val="single" w:color="auto" w:sz="6" w:space="0"/>
              <w:left w:val="single" w:color="auto" w:sz="6" w:space="0"/>
              <w:bottom w:val="single" w:color="auto" w:sz="6" w:space="0"/>
              <w:right w:val="thickThinSmallGap" w:color="auto" w:sz="18" w:space="0"/>
            </w:tcBorders>
            <w:vAlign w:val="center"/>
          </w:tcPr>
          <w:p>
            <w:pPr>
              <w:spacing w:before="156" w:beforeLines="50" w:after="156"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754" w:type="dxa"/>
            <w:tcBorders>
              <w:top w:val="single" w:color="auto" w:sz="6" w:space="0"/>
              <w:left w:val="thinThickSmallGap" w:color="auto" w:sz="18"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ascii="宋体" w:hAnsi="宋体"/>
                <w:bCs/>
                <w:sz w:val="24"/>
                <w:szCs w:val="32"/>
              </w:rPr>
              <w:t>5</w:t>
            </w:r>
          </w:p>
        </w:tc>
        <w:tc>
          <w:tcPr>
            <w:tcW w:w="1176" w:type="dxa"/>
            <w:tcBorders>
              <w:top w:val="single" w:color="auto" w:sz="6" w:space="0"/>
              <w:left w:val="single" w:color="auto" w:sz="6" w:space="0"/>
              <w:bottom w:val="single" w:color="auto" w:sz="6" w:space="0"/>
              <w:right w:val="single" w:color="auto" w:sz="6" w:space="0"/>
            </w:tcBorders>
            <w:vAlign w:val="center"/>
          </w:tcPr>
          <w:p>
            <w:pPr>
              <w:spacing w:before="156" w:beforeLines="50" w:after="156" w:afterLines="50"/>
              <w:jc w:val="center"/>
              <w:rPr>
                <w:rFonts w:ascii="宋体" w:hAnsi="宋体"/>
                <w:bCs/>
                <w:sz w:val="24"/>
                <w:szCs w:val="32"/>
              </w:rPr>
            </w:pPr>
            <w:r>
              <w:rPr>
                <w:rFonts w:hint="eastAsia" w:ascii="宋体" w:hAnsi="宋体"/>
                <w:bCs/>
                <w:sz w:val="24"/>
                <w:szCs w:val="32"/>
              </w:rPr>
              <w:t>10</w:t>
            </w:r>
          </w:p>
        </w:tc>
        <w:tc>
          <w:tcPr>
            <w:tcW w:w="5285" w:type="dxa"/>
            <w:tcBorders>
              <w:top w:val="single" w:color="auto" w:sz="6" w:space="0"/>
              <w:left w:val="single" w:color="auto" w:sz="6" w:space="0"/>
              <w:bottom w:val="single" w:color="auto" w:sz="6" w:space="0"/>
              <w:right w:val="single" w:color="auto" w:sz="6" w:space="0"/>
            </w:tcBorders>
            <w:vAlign w:val="center"/>
          </w:tcPr>
          <w:p>
            <w:pPr>
              <w:rPr>
                <w:szCs w:val="24"/>
              </w:rPr>
            </w:pPr>
            <w:r>
              <w:rPr>
                <w:rFonts w:hint="eastAsia"/>
              </w:rPr>
              <w:t>加分项：</w:t>
            </w:r>
          </w:p>
          <w:p>
            <w:pPr>
              <w:pStyle w:val="6"/>
              <w:ind w:left="0" w:leftChars="0"/>
            </w:pPr>
            <w:r>
              <w:rPr>
                <w:rFonts w:hint="eastAsia" w:ascii="宋体" w:hAnsi="宋体" w:cs="宋体"/>
              </w:rPr>
              <w:t>①供应商</w:t>
            </w:r>
            <w:r>
              <w:rPr>
                <w:rFonts w:hint="eastAsia"/>
              </w:rPr>
              <w:t>有成功的同类产品策划设计的案例，并提供案例电子版或实物的，加3分；</w:t>
            </w:r>
          </w:p>
          <w:p>
            <w:pPr>
              <w:ind w:firstLine="478" w:firstLineChars="228"/>
            </w:pPr>
            <w:r>
              <w:rPr>
                <w:rFonts w:hint="eastAsia" w:ascii="宋体" w:hAnsi="宋体" w:cs="宋体"/>
              </w:rPr>
              <w:t>②</w:t>
            </w:r>
            <w:r>
              <w:rPr>
                <w:rFonts w:hint="eastAsia"/>
              </w:rPr>
              <w:t>供应商在画册设计方面获得过奖项的，市级奖项加</w:t>
            </w:r>
            <w:r>
              <w:t>1</w:t>
            </w:r>
            <w:r>
              <w:rPr>
                <w:rFonts w:hint="eastAsia"/>
              </w:rPr>
              <w:t>分，省级奖项加</w:t>
            </w:r>
            <w:r>
              <w:t>2</w:t>
            </w:r>
            <w:r>
              <w:rPr>
                <w:rFonts w:hint="eastAsia"/>
              </w:rPr>
              <w:t>分，国家级奖项加</w:t>
            </w:r>
            <w:r>
              <w:t>3</w:t>
            </w:r>
            <w:r>
              <w:rPr>
                <w:rFonts w:hint="eastAsia"/>
              </w:rPr>
              <w:t>分，须提供相关证明材料，取最高等次加分，不累加；</w:t>
            </w:r>
            <w:r>
              <w:t xml:space="preserve"> </w:t>
            </w:r>
          </w:p>
          <w:p>
            <w:pPr>
              <w:pStyle w:val="6"/>
              <w:ind w:left="53" w:leftChars="25"/>
            </w:pPr>
            <w:r>
              <w:rPr>
                <w:rFonts w:hint="eastAsia" w:ascii="宋体" w:hAnsi="宋体" w:cs="宋体"/>
              </w:rPr>
              <w:t>③</w:t>
            </w:r>
            <w:r>
              <w:rPr>
                <w:rFonts w:hint="eastAsia"/>
              </w:rPr>
              <w:t>有其他增值服务的，酌</w:t>
            </w:r>
            <w:bookmarkStart w:id="0" w:name="_GoBack"/>
            <w:bookmarkEnd w:id="0"/>
            <w:r>
              <w:rPr>
                <w:rFonts w:hint="eastAsia"/>
              </w:rPr>
              <w:t>情加</w:t>
            </w:r>
            <w:r>
              <w:t>1-3</w:t>
            </w:r>
            <w:r>
              <w:rPr>
                <w:rFonts w:hint="eastAsia"/>
              </w:rPr>
              <w:t>分。</w:t>
            </w:r>
          </w:p>
        </w:tc>
        <w:tc>
          <w:tcPr>
            <w:tcW w:w="1177" w:type="dxa"/>
            <w:tcBorders>
              <w:top w:val="single" w:color="auto" w:sz="6" w:space="0"/>
              <w:left w:val="single" w:color="auto" w:sz="6" w:space="0"/>
              <w:bottom w:val="single" w:color="auto" w:sz="6" w:space="0"/>
              <w:right w:val="thickThinSmallGap" w:color="auto" w:sz="18" w:space="0"/>
            </w:tcBorders>
            <w:vAlign w:val="center"/>
          </w:tcPr>
          <w:p>
            <w:pPr>
              <w:spacing w:before="156" w:beforeLines="50" w:after="156"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754" w:type="dxa"/>
            <w:tcBorders>
              <w:top w:val="single" w:color="auto" w:sz="6" w:space="0"/>
              <w:left w:val="thinThickSmallGap" w:color="auto" w:sz="18" w:space="0"/>
              <w:bottom w:val="thickThinSmallGap" w:color="auto" w:sz="18" w:space="0"/>
              <w:right w:val="single" w:color="auto" w:sz="6" w:space="0"/>
            </w:tcBorders>
            <w:vAlign w:val="center"/>
          </w:tcPr>
          <w:p>
            <w:pPr>
              <w:spacing w:before="156" w:beforeLines="50" w:after="156" w:afterLines="50"/>
              <w:jc w:val="center"/>
              <w:rPr>
                <w:rFonts w:ascii="宋体" w:hAnsi="宋体"/>
                <w:bCs/>
                <w:sz w:val="24"/>
                <w:szCs w:val="32"/>
              </w:rPr>
            </w:pPr>
            <w:r>
              <w:rPr>
                <w:rFonts w:ascii="宋体" w:hAnsi="宋体"/>
                <w:bCs/>
                <w:sz w:val="24"/>
                <w:szCs w:val="32"/>
              </w:rPr>
              <w:t>6</w:t>
            </w:r>
          </w:p>
        </w:tc>
        <w:tc>
          <w:tcPr>
            <w:tcW w:w="1176" w:type="dxa"/>
            <w:tcBorders>
              <w:top w:val="single" w:color="auto" w:sz="6" w:space="0"/>
              <w:left w:val="single" w:color="auto" w:sz="6" w:space="0"/>
              <w:bottom w:val="thickThinSmallGap" w:color="auto" w:sz="18" w:space="0"/>
              <w:right w:val="single" w:color="auto" w:sz="6" w:space="0"/>
            </w:tcBorders>
            <w:vAlign w:val="center"/>
          </w:tcPr>
          <w:p>
            <w:pPr>
              <w:spacing w:before="156" w:beforeLines="50" w:after="156" w:afterLines="50"/>
              <w:jc w:val="center"/>
              <w:rPr>
                <w:rFonts w:ascii="宋体" w:hAnsi="宋体"/>
                <w:bCs/>
                <w:sz w:val="24"/>
                <w:szCs w:val="32"/>
              </w:rPr>
            </w:pPr>
            <w:r>
              <w:rPr>
                <w:rFonts w:ascii="宋体" w:hAnsi="宋体"/>
                <w:bCs/>
                <w:sz w:val="24"/>
                <w:szCs w:val="32"/>
              </w:rPr>
              <w:t>3</w:t>
            </w:r>
            <w:r>
              <w:rPr>
                <w:rFonts w:hint="eastAsia" w:ascii="宋体" w:hAnsi="宋体"/>
                <w:bCs/>
                <w:sz w:val="24"/>
                <w:szCs w:val="32"/>
              </w:rPr>
              <w:t>0</w:t>
            </w:r>
          </w:p>
        </w:tc>
        <w:tc>
          <w:tcPr>
            <w:tcW w:w="5285" w:type="dxa"/>
            <w:tcBorders>
              <w:top w:val="single" w:color="auto" w:sz="6" w:space="0"/>
              <w:left w:val="single" w:color="auto" w:sz="6" w:space="0"/>
              <w:bottom w:val="thickThinSmallGap" w:color="auto" w:sz="18" w:space="0"/>
              <w:right w:val="single" w:color="auto" w:sz="6" w:space="0"/>
            </w:tcBorders>
            <w:vAlign w:val="center"/>
          </w:tcPr>
          <w:p>
            <w:pPr>
              <w:rPr>
                <w:szCs w:val="24"/>
              </w:rPr>
            </w:pPr>
            <w:r>
              <w:rPr>
                <w:rFonts w:hint="eastAsia"/>
              </w:rPr>
              <w:t>磋商报价得分</w:t>
            </w:r>
            <w:r>
              <w:t>=</w:t>
            </w:r>
            <w:r>
              <w:rPr>
                <w:rFonts w:hint="eastAsia"/>
              </w:rPr>
              <w:t>（磋商基准价</w:t>
            </w:r>
            <w:r>
              <w:t>/</w:t>
            </w:r>
            <w:r>
              <w:rPr>
                <w:rFonts w:hint="eastAsia"/>
              </w:rPr>
              <w:t>最后磋商报价）</w:t>
            </w:r>
            <w:r>
              <w:t>*</w:t>
            </w:r>
            <w:r>
              <w:rPr>
                <w:rFonts w:hint="eastAsia"/>
                <w:lang w:val="en-US" w:eastAsia="zh-CN"/>
              </w:rPr>
              <w:t>3</w:t>
            </w:r>
            <w:r>
              <w:t>0</w:t>
            </w:r>
          </w:p>
        </w:tc>
        <w:tc>
          <w:tcPr>
            <w:tcW w:w="1177" w:type="dxa"/>
            <w:tcBorders>
              <w:top w:val="single" w:color="auto" w:sz="6" w:space="0"/>
              <w:left w:val="single" w:color="auto" w:sz="6" w:space="0"/>
              <w:bottom w:val="thickThinSmallGap" w:color="auto" w:sz="18" w:space="0"/>
              <w:right w:val="thickThinSmallGap" w:color="auto" w:sz="18" w:space="0"/>
            </w:tcBorders>
            <w:vAlign w:val="center"/>
          </w:tcPr>
          <w:p>
            <w:pPr>
              <w:spacing w:before="156" w:beforeLines="50" w:after="156" w:afterLines="50"/>
              <w:jc w:val="center"/>
              <w:rPr>
                <w:rFonts w:ascii="宋体" w:hAnsi="宋体" w:eastAsia="黑体"/>
                <w:b/>
                <w:bCs/>
                <w:sz w:val="24"/>
                <w:szCs w:val="32"/>
              </w:rPr>
            </w:pPr>
          </w:p>
        </w:tc>
      </w:tr>
    </w:tbl>
    <w:p>
      <w:pPr>
        <w:rPr>
          <w:szCs w:val="24"/>
        </w:rPr>
      </w:pPr>
    </w:p>
    <w:p>
      <w:pPr>
        <w:widowControl/>
        <w:spacing w:line="580" w:lineRule="exact"/>
        <w:ind w:firstLine="640" w:firstLineChars="200"/>
        <w:jc w:val="left"/>
        <w:textAlignment w:val="baseline"/>
        <w:rPr>
          <w:rFonts w:ascii="方正仿宋_GBK" w:hAnsi="方正仿宋_GBK" w:eastAsia="方正仿宋_GBK" w:cs="方正仿宋_GBK"/>
          <w:sz w:val="32"/>
          <w:szCs w:val="32"/>
        </w:rPr>
      </w:pPr>
    </w:p>
    <w:p>
      <w:pPr>
        <w:spacing w:line="580" w:lineRule="exact"/>
        <w:ind w:firstLine="640" w:firstLineChars="200"/>
        <w:jc w:val="left"/>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MzZDVlNDMyZDY5NzBiYzZiYWE5ZDY4MjkwZDY2ZTcifQ=="/>
  </w:docVars>
  <w:rsids>
    <w:rsidRoot w:val="00FC1792"/>
    <w:rsid w:val="000157A4"/>
    <w:rsid w:val="000348DF"/>
    <w:rsid w:val="000750CF"/>
    <w:rsid w:val="000A6696"/>
    <w:rsid w:val="000B0294"/>
    <w:rsid w:val="000D5689"/>
    <w:rsid w:val="000F5A07"/>
    <w:rsid w:val="00111EF4"/>
    <w:rsid w:val="001232B7"/>
    <w:rsid w:val="001A7F48"/>
    <w:rsid w:val="001B6201"/>
    <w:rsid w:val="001C1A99"/>
    <w:rsid w:val="001F4500"/>
    <w:rsid w:val="00204700"/>
    <w:rsid w:val="00282DE7"/>
    <w:rsid w:val="0029487B"/>
    <w:rsid w:val="002959DF"/>
    <w:rsid w:val="002F24E3"/>
    <w:rsid w:val="002F29AC"/>
    <w:rsid w:val="002F606F"/>
    <w:rsid w:val="003212D9"/>
    <w:rsid w:val="00333914"/>
    <w:rsid w:val="003600DE"/>
    <w:rsid w:val="003B26B3"/>
    <w:rsid w:val="003E0CED"/>
    <w:rsid w:val="004409EC"/>
    <w:rsid w:val="004919B1"/>
    <w:rsid w:val="00514AA1"/>
    <w:rsid w:val="00537599"/>
    <w:rsid w:val="0066178C"/>
    <w:rsid w:val="00674612"/>
    <w:rsid w:val="006952AD"/>
    <w:rsid w:val="006A1BCB"/>
    <w:rsid w:val="00721630"/>
    <w:rsid w:val="00737C11"/>
    <w:rsid w:val="007703F7"/>
    <w:rsid w:val="00807794"/>
    <w:rsid w:val="00820806"/>
    <w:rsid w:val="0082149D"/>
    <w:rsid w:val="00866F20"/>
    <w:rsid w:val="00933411"/>
    <w:rsid w:val="009B2DB5"/>
    <w:rsid w:val="009C34B0"/>
    <w:rsid w:val="009F79A0"/>
    <w:rsid w:val="00A25FC0"/>
    <w:rsid w:val="00AB33D2"/>
    <w:rsid w:val="00AC14C3"/>
    <w:rsid w:val="00B03E41"/>
    <w:rsid w:val="00B376D2"/>
    <w:rsid w:val="00B37728"/>
    <w:rsid w:val="00B56AE9"/>
    <w:rsid w:val="00B64F2B"/>
    <w:rsid w:val="00C9528B"/>
    <w:rsid w:val="00CC1876"/>
    <w:rsid w:val="00CF722C"/>
    <w:rsid w:val="00D129F4"/>
    <w:rsid w:val="00D148DC"/>
    <w:rsid w:val="00D3308E"/>
    <w:rsid w:val="00D34F49"/>
    <w:rsid w:val="00D524F1"/>
    <w:rsid w:val="00D81E8B"/>
    <w:rsid w:val="00D851C3"/>
    <w:rsid w:val="00DB0421"/>
    <w:rsid w:val="00DD0C2A"/>
    <w:rsid w:val="00DD3FD6"/>
    <w:rsid w:val="00DD489D"/>
    <w:rsid w:val="00E22E71"/>
    <w:rsid w:val="00E83B77"/>
    <w:rsid w:val="00E97A33"/>
    <w:rsid w:val="00EA7A9A"/>
    <w:rsid w:val="00EF53F0"/>
    <w:rsid w:val="00F24CED"/>
    <w:rsid w:val="00F5527A"/>
    <w:rsid w:val="00FA0F5F"/>
    <w:rsid w:val="00FA5BB3"/>
    <w:rsid w:val="00FC1792"/>
    <w:rsid w:val="2E6B37FE"/>
    <w:rsid w:val="560D201A"/>
    <w:rsid w:val="74954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semiHidden/>
    <w:unhideWhenUsed/>
    <w:uiPriority w:val="99"/>
    <w:pPr>
      <w:spacing w:after="120"/>
      <w:ind w:left="420" w:leftChars="200"/>
    </w:pPr>
  </w:style>
  <w:style w:type="paragraph" w:styleId="3">
    <w:name w:val="Balloon Text"/>
    <w:basedOn w:val="1"/>
    <w:link w:val="13"/>
    <w:semiHidden/>
    <w:unhideWhenUsed/>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link w:val="12"/>
    <w:unhideWhenUsed/>
    <w:qFormat/>
    <w:uiPriority w:val="0"/>
    <w:pPr>
      <w:ind w:firstLine="420" w:firstLineChars="200"/>
    </w:pPr>
    <w:rPr>
      <w:szCs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正文文本缩进 字符"/>
    <w:basedOn w:val="8"/>
    <w:link w:val="2"/>
    <w:semiHidden/>
    <w:uiPriority w:val="99"/>
  </w:style>
  <w:style w:type="character" w:customStyle="1" w:styleId="12">
    <w:name w:val="正文首行缩进 2 字符"/>
    <w:basedOn w:val="11"/>
    <w:link w:val="6"/>
    <w:qFormat/>
    <w:uiPriority w:val="0"/>
    <w:rPr>
      <w:szCs w:val="24"/>
    </w:rPr>
  </w:style>
  <w:style w:type="character" w:customStyle="1" w:styleId="13">
    <w:name w:val="批注框文本 字符"/>
    <w:basedOn w:val="8"/>
    <w:link w:val="3"/>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1348</Words>
  <Characters>1365</Characters>
  <Lines>10</Lines>
  <Paragraphs>2</Paragraphs>
  <TotalTime>192</TotalTime>
  <ScaleCrop>false</ScaleCrop>
  <LinksUpToDate>false</LinksUpToDate>
  <CharactersWithSpaces>1367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2022-05-24T08:19:00Z</dcterms:created>
  <dc:creator>Microsoft</dc:creator>
  <cp:lastModifiedBy>Administrator</cp:lastModifiedBy>
  <cp:lastPrinted>2022-06-06T08:13:00Z</cp:lastPrinted>
  <dcterms:modified xsi:type="dcterms:W3CDTF">2022-06-07T02:54:35Z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BE840EAD7D244BAEA59110A57B740A9D</vt:lpwstr>
  </property>
</Properties>
</file>