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rPr>
        <w:t>需求内容-</w:t>
      </w:r>
      <w:r>
        <w:rPr>
          <w:rFonts w:hint="eastAsia" w:ascii="方正小标宋简体" w:hAnsi="方正小标宋简体" w:eastAsia="方正小标宋简体" w:cs="方正小标宋简体"/>
          <w:sz w:val="44"/>
          <w:szCs w:val="44"/>
          <w:lang w:eastAsia="zh-CN"/>
        </w:rPr>
        <w:t>信息化建设定点咨询和监理服务供应商</w:t>
      </w:r>
    </w:p>
    <w:bookmarkEnd w:id="0"/>
    <w:p>
      <w:pPr>
        <w:rPr>
          <w:rFonts w:hint="eastAsia" w:ascii="黑体" w:hAnsi="黑体" w:eastAsia="黑体" w:cs="黑体"/>
          <w:sz w:val="32"/>
          <w:szCs w:val="32"/>
          <w:lang w:eastAsia="zh-CN"/>
        </w:rPr>
      </w:pPr>
      <w:r>
        <w:rPr>
          <w:rFonts w:hint="eastAsia" w:ascii="黑体" w:hAnsi="黑体" w:eastAsia="黑体" w:cs="黑体"/>
          <w:sz w:val="32"/>
          <w:szCs w:val="32"/>
          <w:lang w:eastAsia="zh-CN"/>
        </w:rPr>
        <w:t>一</w:t>
      </w:r>
      <w:r>
        <w:rPr>
          <w:rFonts w:hint="eastAsia" w:ascii="黑体" w:hAnsi="黑体" w:eastAsia="黑体" w:cs="黑体"/>
          <w:sz w:val="32"/>
          <w:szCs w:val="32"/>
        </w:rPr>
        <w:t>、</w:t>
      </w:r>
      <w:r>
        <w:rPr>
          <w:rFonts w:hint="eastAsia" w:ascii="黑体" w:hAnsi="黑体" w:eastAsia="黑体" w:cs="黑体"/>
          <w:sz w:val="32"/>
          <w:szCs w:val="32"/>
          <w:lang w:eastAsia="zh-CN"/>
        </w:rPr>
        <w:t>需求内容</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（一）咨询服务工作内容</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1、对厦门医学院附属口腔医院提供的项目建设方案提供咨询服务并出具相关的咨询意见和建议；</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2、促使项目计划、建设方案满足采购人需求，符合相关的法律、法规和标准；</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3、协助采购人消除建设方案在进入项目招标和实施前可预见的缺陷；对项目建设有关事项包括招标参数、软件功能的重复性、合理性、完整性，向建设单位提出合理性的意见和建议。</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（二）咨询技术要求</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咨询服务中应对厦门医学院附属口腔医院提供的项目建设方案进行全面综合的评估，其内容和深度应符合以下要求：</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1、从技术、经济、管理等方面评估项目建设的必要性和可行性；</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2、对项目的建设目标、建设范围、建设任务、建设原则和技术路线评估；</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3、对运行管理方案进行评估；</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4、对项目进行投资概算和资金使用计划进行评估；</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5、通过对方案的综合评估，确定项目建设方案。</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（三）监理服务工作技术要求</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1、质量控制</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依据招标文件、投标文件、合同和设计单位制定的厦门医学院附属口腔医院信息化建设项目技术规范书，审查、监督、控制厦门医学院附属口腔医院信息化建设项目设备采购及设备安装、应用软件开发的质量；</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（2）采取事前预防、事中控制、事后纠正的监理方式，依据国家法律、法规、标准以及项目合同、设计方案、监理规划、监理实施细则等文件控制项目工程质量；</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（3）根据各子项目的特点，制定包括设备的到货验收标准，验收方法；制定设备安装、应用软件开发监理控制方案；</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（4）编制重大质量问题的处理预案，包括设备采购、设备运输、设备安装、应用软件开发过程中可能出现的重大质量问题的处理预案；</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（5）组织设备安装、应用软件开发工程质量事故的原因调查、问题分析、问题评估、事故处理；</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（6）组织设备安装、应用软件开发质量检查和验收；</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（7）督促设备安装、应用软件开发单位整改存在问题；</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（8）参与工程竣工验收和交接；</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（9）跟踪厦门医学院附属口腔医院信息化建设项目在质保期内的运行状况，督促承建单位做好售后服务。</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2、进度控制</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（1）审查各子项目的设备采购进度计划，设备安装、应用软件开发进度计划，监督计划的执行；</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（2）采用项目管理工具，如：WBS，甘特图等，确定各子项目设备采购的到货顺序，设备安装、应用软件开发的工序顺序，控制项目施工进度；</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（3）发现设备采购与安装、软件开发进程未能按计划进行时，要求承建单位调整或修改计划，采取必要措施加快采购进度，以使实际施工进度符合合同的要求；</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（4）当设备采购与安装、软件开发进度拖后可能导致合同工期严重延误时，有责任作详细报告分析原因和提出对策，供厦门医学院附属口腔医院采取措施或做出决定。</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3、投资控制</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（1）动态管理跟踪项目设备采购成本、安装成本，进行成本、费用控制和分析；</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（2）审查设备采购进度款申报；</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（3）严格控制和审查工程变更，核算成本和变化量，报厦门医学院附属口腔医院审批；</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（4）审核承建单位的工程量清单和工程竣工结算。</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4、合同管理</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（1）协助厦门医学院附属口腔医院与承建单位签订合同；</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（2）监督检查承建单位履行合同；</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（3）协助厦门医学院附属口腔医院处理厦门医学院附属口腔医院信息化建设项目实施的每个过程出现的违约、索赔、延期、分包、纠纷调解及仲裁等问题。</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5、信息管理</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（1）及时向厦门医学院附属口腔医院提交反映项目动态和监理工作情况的项目文档；</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（2）建立全面、准确反映项目各阶段工程状况的图表、文档，收集、管理项目各类文档和资料；</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（3）督促、检查承建单位及时完成各阶段设备资料、工程技术资料的整理和归档工作；</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（4）转发厦门医学院附属口腔医院发出的一切指示、通知和业务联系单；</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采用图表、统计技术或其他先进的管理方法，定期公布项目质量、进度、成本数据，就项目中存在或出现的问题向厦门医学院附属口腔医院、承建单位、设计单位提出独立、公正、公平的意见建议或解决方案；</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（6）当采购设备出现质量问题或严重偏离计划时，应及时向厦门医学院附属口腔医院报告，并提出对策建议，同时督促承建单位尽快采取措施。</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6、组织协调</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（1）确定承建单位、设计单位等之间的工作范围和职责；</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（2）监督各方履行职责，协调各方的工作关系；</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（3）建立畅通的沟通平台和沟通渠道，采取有效措施使项目信息在有关各方之间保持顺畅流通，积极协调项目各方之间的关系，推动项目实施过程中问题的解决。</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7、设备安装施工安全监督</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（1）检查督促承建单位建立、完善安全生产制度；</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（2）组织工程安全事故的调查与处理；</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（3）确立厦门医学院附属口腔医院信息化建设项目安全监督的工作目标。</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8、信息管理/项目文件管理</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监理服务中，投标人对各项目的信息管理/项目文件管理应包括但不限于：</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（1）监理日常报告及项目大事记；</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（2）合同批复等各类来往文件的批复和存档；</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（3）项目协调会、技术专题会等会议的会议纪要；</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（4）各项目实施期间的各类技术文档的管理；</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（5）项目周报；</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（6）监理建议书；</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（7）监理通知；</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（8）阶段性项目总结；</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（9）各项目厂家提交的技术文档管理。</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9、协调管理</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投标人应协调医院、各项目厂家之间的工作关系，并协调解决项目建设中的各类纠纷。</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10 项目安全管理</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（1）负责各项目建设过程中所涉及的医院数据和材料的保护，保证不被非授权使用；</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（2）负责各项目建设实施过程中安全控制，确保不出现任何安全事故。</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11、项目知识产权管理</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（1）负责各项目建设过程中所产生成功的知识产权保护，保证不被非授权使用；</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（2）负责各项目建设过程中涉及知识产权的产品和系统的使用审核，保证招标人不在各项目建设中出现违反知识产权的行为。</w:t>
      </w:r>
    </w:p>
    <w:p>
      <w:pPr>
        <w:rPr>
          <w:rFonts w:hint="eastAsia" w:ascii="方正仿宋_GB2312" w:hAnsi="方正仿宋_GB2312" w:eastAsia="方正仿宋_GB2312" w:cs="方正仿宋_GB2312"/>
          <w:sz w:val="32"/>
          <w:szCs w:val="32"/>
        </w:rPr>
      </w:pPr>
      <w:r>
        <w:rPr>
          <w:rFonts w:hint="eastAsia" w:ascii="黑体" w:hAnsi="黑体" w:eastAsia="黑体" w:cs="黑体"/>
          <w:sz w:val="32"/>
          <w:szCs w:val="32"/>
        </w:rPr>
        <w:t>三、</w:t>
      </w:r>
      <w:r>
        <w:rPr>
          <w:rFonts w:hint="eastAsia" w:ascii="黑体" w:hAnsi="黑体" w:eastAsia="黑体" w:cs="黑体"/>
          <w:sz w:val="32"/>
          <w:szCs w:val="32"/>
          <w:lang w:eastAsia="zh-CN"/>
        </w:rPr>
        <w:t>服务期限</w:t>
      </w:r>
      <w:r>
        <w:rPr>
          <w:rFonts w:hint="eastAsia" w:ascii="黑体" w:hAnsi="黑体" w:eastAsia="黑体" w:cs="黑体"/>
          <w:sz w:val="32"/>
          <w:szCs w:val="32"/>
        </w:rPr>
        <w:t>：</w:t>
      </w:r>
      <w:r>
        <w:rPr>
          <w:rFonts w:hint="eastAsia" w:ascii="方正仿宋_GB2312" w:hAnsi="方正仿宋_GB2312" w:eastAsia="方正仿宋_GB2312" w:cs="方正仿宋_GB2312"/>
          <w:sz w:val="32"/>
          <w:szCs w:val="32"/>
          <w:lang w:val="en-US" w:eastAsia="zh-CN"/>
        </w:rPr>
        <w:t>1年。</w:t>
      </w:r>
    </w:p>
    <w:p>
      <w:pPr>
        <w:rPr>
          <w:rFonts w:hint="eastAsia" w:ascii="黑体" w:hAnsi="黑体" w:eastAsia="黑体" w:cs="黑体"/>
          <w:sz w:val="32"/>
          <w:szCs w:val="32"/>
          <w:lang w:eastAsia="zh-CN"/>
        </w:rPr>
      </w:pPr>
      <w:r>
        <w:rPr>
          <w:rFonts w:hint="eastAsia" w:ascii="黑体" w:hAnsi="黑体" w:eastAsia="黑体" w:cs="黑体"/>
          <w:sz w:val="32"/>
          <w:szCs w:val="32"/>
          <w:lang w:eastAsia="zh-CN"/>
        </w:rPr>
        <w:t>四</w:t>
      </w:r>
      <w:r>
        <w:rPr>
          <w:rFonts w:hint="eastAsia" w:ascii="黑体" w:hAnsi="黑体" w:eastAsia="黑体" w:cs="黑体"/>
          <w:sz w:val="32"/>
          <w:szCs w:val="32"/>
        </w:rPr>
        <w:t>、</w:t>
      </w:r>
      <w:r>
        <w:rPr>
          <w:rFonts w:hint="eastAsia" w:ascii="黑体" w:hAnsi="黑体" w:eastAsia="黑体" w:cs="黑体"/>
          <w:sz w:val="32"/>
          <w:szCs w:val="32"/>
          <w:lang w:eastAsia="zh-CN"/>
        </w:rPr>
        <w:t>评分表</w:t>
      </w:r>
    </w:p>
    <w:tbl>
      <w:tblPr>
        <w:tblW w:w="91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33"/>
        <w:gridCol w:w="564"/>
        <w:gridCol w:w="2409"/>
        <w:gridCol w:w="52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4" w:hRule="atLeast"/>
        </w:trPr>
        <w:tc>
          <w:tcPr>
            <w:tcW w:w="933" w:type="dxa"/>
            <w:vMerge w:val="restart"/>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评分项目</w:t>
            </w:r>
            <w:r>
              <w:rPr>
                <w:rFonts w:hint="default" w:ascii="仿宋_GB2312" w:hAnsi="宋体" w:eastAsia="仿宋_GB2312" w:cs="仿宋_GB2312"/>
                <w:i w:val="0"/>
                <w:iCs w:val="0"/>
                <w:color w:val="000000"/>
                <w:kern w:val="0"/>
                <w:sz w:val="24"/>
                <w:szCs w:val="24"/>
                <w:u w:val="none"/>
                <w:bdr w:val="none" w:color="auto" w:sz="0" w:space="0"/>
                <w:lang w:val="en-US" w:eastAsia="zh-CN" w:bidi="ar"/>
              </w:rPr>
              <w:br w:type="textWrapping"/>
            </w:r>
            <w:r>
              <w:rPr>
                <w:rFonts w:hint="default" w:ascii="仿宋_GB2312" w:hAnsi="宋体" w:eastAsia="仿宋_GB2312" w:cs="仿宋_GB2312"/>
                <w:i w:val="0"/>
                <w:iCs w:val="0"/>
                <w:color w:val="000000"/>
                <w:kern w:val="0"/>
                <w:sz w:val="24"/>
                <w:szCs w:val="24"/>
                <w:u w:val="none"/>
                <w:bdr w:val="none" w:color="auto" w:sz="0" w:space="0"/>
                <w:lang w:val="en-US" w:eastAsia="zh-CN" w:bidi="ar"/>
              </w:rPr>
              <w:t>(100分)</w:t>
            </w:r>
          </w:p>
        </w:tc>
        <w:tc>
          <w:tcPr>
            <w:tcW w:w="564" w:type="dxa"/>
            <w:vMerge w:val="restart"/>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分值</w:t>
            </w:r>
          </w:p>
        </w:tc>
        <w:tc>
          <w:tcPr>
            <w:tcW w:w="2409" w:type="dxa"/>
            <w:vMerge w:val="restart"/>
            <w:tcBorders>
              <w:top w:val="single" w:color="000000" w:sz="4" w:space="0"/>
              <w:left w:val="single" w:color="000000" w:sz="4" w:space="0"/>
              <w:bottom w:val="nil"/>
              <w:right w:val="single" w:color="000000" w:sz="4" w:space="0"/>
            </w:tcBorders>
            <w:shd w:val="clear"/>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评审内容</w:t>
            </w:r>
          </w:p>
        </w:tc>
        <w:tc>
          <w:tcPr>
            <w:tcW w:w="5291" w:type="dxa"/>
            <w:vMerge w:val="restart"/>
            <w:tcBorders>
              <w:top w:val="single" w:color="000000" w:sz="4" w:space="0"/>
              <w:left w:val="single" w:color="000000" w:sz="4" w:space="0"/>
              <w:bottom w:val="nil"/>
              <w:right w:val="single" w:color="000000" w:sz="4" w:space="0"/>
            </w:tcBorders>
            <w:shd w:val="clear"/>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评分细则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933" w:type="dxa"/>
            <w:vMerge w:val="continue"/>
            <w:tcBorders>
              <w:top w:val="single" w:color="000000" w:sz="4" w:space="0"/>
              <w:left w:val="single" w:color="000000" w:sz="4" w:space="0"/>
              <w:bottom w:val="nil"/>
              <w:right w:val="single" w:color="000000" w:sz="4" w:space="0"/>
            </w:tcBorders>
            <w:shd w:val="clear"/>
            <w:vAlign w:val="center"/>
          </w:tcPr>
          <w:p>
            <w:pPr>
              <w:jc w:val="center"/>
              <w:rPr>
                <w:rFonts w:hint="default" w:ascii="仿宋_GB2312" w:hAnsi="宋体" w:eastAsia="仿宋_GB2312" w:cs="仿宋_GB2312"/>
                <w:i w:val="0"/>
                <w:iCs w:val="0"/>
                <w:color w:val="000000"/>
                <w:sz w:val="24"/>
                <w:szCs w:val="24"/>
                <w:u w:val="none"/>
              </w:rPr>
            </w:pPr>
          </w:p>
        </w:tc>
        <w:tc>
          <w:tcPr>
            <w:tcW w:w="564" w:type="dxa"/>
            <w:vMerge w:val="continue"/>
            <w:tcBorders>
              <w:top w:val="single" w:color="000000" w:sz="4" w:space="0"/>
              <w:left w:val="single" w:color="000000" w:sz="4" w:space="0"/>
              <w:bottom w:val="nil"/>
              <w:right w:val="single" w:color="000000" w:sz="4" w:space="0"/>
            </w:tcBorders>
            <w:shd w:val="clear"/>
            <w:vAlign w:val="center"/>
          </w:tcPr>
          <w:p>
            <w:pPr>
              <w:jc w:val="center"/>
              <w:rPr>
                <w:rFonts w:hint="default" w:ascii="仿宋_GB2312" w:hAnsi="宋体" w:eastAsia="仿宋_GB2312" w:cs="仿宋_GB2312"/>
                <w:i w:val="0"/>
                <w:iCs w:val="0"/>
                <w:color w:val="000000"/>
                <w:sz w:val="24"/>
                <w:szCs w:val="24"/>
                <w:u w:val="none"/>
              </w:rPr>
            </w:pPr>
          </w:p>
        </w:tc>
        <w:tc>
          <w:tcPr>
            <w:tcW w:w="2409" w:type="dxa"/>
            <w:vMerge w:val="continue"/>
            <w:tcBorders>
              <w:top w:val="single" w:color="000000" w:sz="4" w:space="0"/>
              <w:left w:val="single" w:color="000000" w:sz="4" w:space="0"/>
              <w:bottom w:val="nil"/>
              <w:right w:val="single" w:color="000000" w:sz="4" w:space="0"/>
            </w:tcBorders>
            <w:shd w:val="clear"/>
            <w:noWrap/>
            <w:vAlign w:val="center"/>
          </w:tcPr>
          <w:p>
            <w:pPr>
              <w:jc w:val="center"/>
              <w:rPr>
                <w:rFonts w:hint="default" w:ascii="仿宋_GB2312" w:hAnsi="宋体" w:eastAsia="仿宋_GB2312" w:cs="仿宋_GB2312"/>
                <w:i w:val="0"/>
                <w:iCs w:val="0"/>
                <w:color w:val="000000"/>
                <w:sz w:val="24"/>
                <w:szCs w:val="24"/>
                <w:u w:val="none"/>
              </w:rPr>
            </w:pPr>
          </w:p>
        </w:tc>
        <w:tc>
          <w:tcPr>
            <w:tcW w:w="5291" w:type="dxa"/>
            <w:vMerge w:val="continue"/>
            <w:tcBorders>
              <w:top w:val="single" w:color="000000" w:sz="4" w:space="0"/>
              <w:left w:val="single" w:color="000000" w:sz="4" w:space="0"/>
              <w:bottom w:val="nil"/>
              <w:right w:val="single" w:color="000000" w:sz="4" w:space="0"/>
            </w:tcBorders>
            <w:shd w:val="clear"/>
            <w:noWrap/>
            <w:vAlign w:val="center"/>
          </w:tcPr>
          <w:p>
            <w:pPr>
              <w:jc w:val="center"/>
              <w:rPr>
                <w:rFonts w:hint="default"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933" w:type="dxa"/>
            <w:vMerge w:val="continue"/>
            <w:tcBorders>
              <w:top w:val="single" w:color="000000" w:sz="4" w:space="0"/>
              <w:left w:val="single" w:color="000000" w:sz="4" w:space="0"/>
              <w:bottom w:val="nil"/>
              <w:right w:val="single" w:color="000000" w:sz="4" w:space="0"/>
            </w:tcBorders>
            <w:shd w:val="clear"/>
            <w:vAlign w:val="center"/>
          </w:tcPr>
          <w:p>
            <w:pPr>
              <w:jc w:val="center"/>
              <w:rPr>
                <w:rFonts w:hint="default" w:ascii="仿宋_GB2312" w:hAnsi="宋体" w:eastAsia="仿宋_GB2312" w:cs="仿宋_GB2312"/>
                <w:i w:val="0"/>
                <w:iCs w:val="0"/>
                <w:color w:val="000000"/>
                <w:sz w:val="24"/>
                <w:szCs w:val="24"/>
                <w:u w:val="none"/>
              </w:rPr>
            </w:pPr>
          </w:p>
        </w:tc>
        <w:tc>
          <w:tcPr>
            <w:tcW w:w="564" w:type="dxa"/>
            <w:vMerge w:val="continue"/>
            <w:tcBorders>
              <w:top w:val="single" w:color="000000" w:sz="4" w:space="0"/>
              <w:left w:val="single" w:color="000000" w:sz="4" w:space="0"/>
              <w:bottom w:val="nil"/>
              <w:right w:val="single" w:color="000000" w:sz="4" w:space="0"/>
            </w:tcBorders>
            <w:shd w:val="clear"/>
            <w:vAlign w:val="center"/>
          </w:tcPr>
          <w:p>
            <w:pPr>
              <w:jc w:val="center"/>
              <w:rPr>
                <w:rFonts w:hint="default" w:ascii="仿宋_GB2312" w:hAnsi="宋体" w:eastAsia="仿宋_GB2312" w:cs="仿宋_GB2312"/>
                <w:i w:val="0"/>
                <w:iCs w:val="0"/>
                <w:color w:val="000000"/>
                <w:sz w:val="24"/>
                <w:szCs w:val="24"/>
                <w:u w:val="none"/>
              </w:rPr>
            </w:pPr>
          </w:p>
        </w:tc>
        <w:tc>
          <w:tcPr>
            <w:tcW w:w="2409" w:type="dxa"/>
            <w:vMerge w:val="continue"/>
            <w:tcBorders>
              <w:top w:val="single" w:color="000000" w:sz="4" w:space="0"/>
              <w:left w:val="single" w:color="000000" w:sz="4" w:space="0"/>
              <w:bottom w:val="nil"/>
              <w:right w:val="single" w:color="000000" w:sz="4" w:space="0"/>
            </w:tcBorders>
            <w:shd w:val="clear"/>
            <w:noWrap/>
            <w:vAlign w:val="center"/>
          </w:tcPr>
          <w:p>
            <w:pPr>
              <w:jc w:val="center"/>
              <w:rPr>
                <w:rFonts w:hint="default" w:ascii="仿宋_GB2312" w:hAnsi="宋体" w:eastAsia="仿宋_GB2312" w:cs="仿宋_GB2312"/>
                <w:i w:val="0"/>
                <w:iCs w:val="0"/>
                <w:color w:val="000000"/>
                <w:sz w:val="24"/>
                <w:szCs w:val="24"/>
                <w:u w:val="none"/>
              </w:rPr>
            </w:pPr>
          </w:p>
        </w:tc>
        <w:tc>
          <w:tcPr>
            <w:tcW w:w="5291" w:type="dxa"/>
            <w:vMerge w:val="continue"/>
            <w:tcBorders>
              <w:top w:val="single" w:color="000000" w:sz="4" w:space="0"/>
              <w:left w:val="single" w:color="000000" w:sz="4" w:space="0"/>
              <w:bottom w:val="nil"/>
              <w:right w:val="single" w:color="000000" w:sz="4" w:space="0"/>
            </w:tcBorders>
            <w:shd w:val="clear"/>
            <w:noWrap/>
            <w:vAlign w:val="center"/>
          </w:tcPr>
          <w:p>
            <w:pPr>
              <w:jc w:val="center"/>
              <w:rPr>
                <w:rFonts w:hint="default"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933" w:type="dxa"/>
            <w:vMerge w:val="continue"/>
            <w:tcBorders>
              <w:top w:val="single" w:color="000000" w:sz="4" w:space="0"/>
              <w:left w:val="single" w:color="000000" w:sz="4" w:space="0"/>
              <w:bottom w:val="nil"/>
              <w:right w:val="single" w:color="000000" w:sz="4" w:space="0"/>
            </w:tcBorders>
            <w:shd w:val="clear"/>
            <w:vAlign w:val="center"/>
          </w:tcPr>
          <w:p>
            <w:pPr>
              <w:jc w:val="center"/>
              <w:rPr>
                <w:rFonts w:hint="default" w:ascii="仿宋_GB2312" w:hAnsi="宋体" w:eastAsia="仿宋_GB2312" w:cs="仿宋_GB2312"/>
                <w:i w:val="0"/>
                <w:iCs w:val="0"/>
                <w:color w:val="000000"/>
                <w:sz w:val="24"/>
                <w:szCs w:val="24"/>
                <w:u w:val="none"/>
              </w:rPr>
            </w:pPr>
          </w:p>
        </w:tc>
        <w:tc>
          <w:tcPr>
            <w:tcW w:w="564" w:type="dxa"/>
            <w:vMerge w:val="continue"/>
            <w:tcBorders>
              <w:top w:val="single" w:color="000000" w:sz="4" w:space="0"/>
              <w:left w:val="single" w:color="000000" w:sz="4" w:space="0"/>
              <w:bottom w:val="nil"/>
              <w:right w:val="single" w:color="000000" w:sz="4" w:space="0"/>
            </w:tcBorders>
            <w:shd w:val="clear"/>
            <w:vAlign w:val="center"/>
          </w:tcPr>
          <w:p>
            <w:pPr>
              <w:jc w:val="center"/>
              <w:rPr>
                <w:rFonts w:hint="default" w:ascii="仿宋_GB2312" w:hAnsi="宋体" w:eastAsia="仿宋_GB2312" w:cs="仿宋_GB2312"/>
                <w:i w:val="0"/>
                <w:iCs w:val="0"/>
                <w:color w:val="000000"/>
                <w:sz w:val="24"/>
                <w:szCs w:val="24"/>
                <w:u w:val="none"/>
              </w:rPr>
            </w:pPr>
          </w:p>
        </w:tc>
        <w:tc>
          <w:tcPr>
            <w:tcW w:w="2409" w:type="dxa"/>
            <w:vMerge w:val="continue"/>
            <w:tcBorders>
              <w:top w:val="single" w:color="000000" w:sz="4" w:space="0"/>
              <w:left w:val="single" w:color="000000" w:sz="4" w:space="0"/>
              <w:bottom w:val="nil"/>
              <w:right w:val="single" w:color="000000" w:sz="4" w:space="0"/>
            </w:tcBorders>
            <w:shd w:val="clear"/>
            <w:noWrap/>
            <w:vAlign w:val="center"/>
          </w:tcPr>
          <w:p>
            <w:pPr>
              <w:jc w:val="center"/>
              <w:rPr>
                <w:rFonts w:hint="default" w:ascii="仿宋_GB2312" w:hAnsi="宋体" w:eastAsia="仿宋_GB2312" w:cs="仿宋_GB2312"/>
                <w:i w:val="0"/>
                <w:iCs w:val="0"/>
                <w:color w:val="000000"/>
                <w:sz w:val="24"/>
                <w:szCs w:val="24"/>
                <w:u w:val="none"/>
              </w:rPr>
            </w:pPr>
          </w:p>
        </w:tc>
        <w:tc>
          <w:tcPr>
            <w:tcW w:w="5291" w:type="dxa"/>
            <w:vMerge w:val="continue"/>
            <w:tcBorders>
              <w:top w:val="single" w:color="000000" w:sz="4" w:space="0"/>
              <w:left w:val="single" w:color="000000" w:sz="4" w:space="0"/>
              <w:bottom w:val="nil"/>
              <w:right w:val="single" w:color="000000" w:sz="4" w:space="0"/>
            </w:tcBorders>
            <w:shd w:val="clear"/>
            <w:noWrap/>
            <w:vAlign w:val="center"/>
          </w:tcPr>
          <w:p>
            <w:pPr>
              <w:jc w:val="center"/>
              <w:rPr>
                <w:rFonts w:hint="default"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4" w:hRule="atLeast"/>
        </w:trPr>
        <w:tc>
          <w:tcPr>
            <w:tcW w:w="933" w:type="dxa"/>
            <w:vMerge w:val="continue"/>
            <w:tcBorders>
              <w:top w:val="single" w:color="000000" w:sz="4" w:space="0"/>
              <w:left w:val="single" w:color="000000" w:sz="4" w:space="0"/>
              <w:bottom w:val="nil"/>
              <w:right w:val="single" w:color="000000" w:sz="4" w:space="0"/>
            </w:tcBorders>
            <w:shd w:val="clear"/>
            <w:vAlign w:val="center"/>
          </w:tcPr>
          <w:p>
            <w:pPr>
              <w:jc w:val="center"/>
              <w:rPr>
                <w:rFonts w:hint="default" w:ascii="仿宋_GB2312" w:hAnsi="宋体" w:eastAsia="仿宋_GB2312" w:cs="仿宋_GB2312"/>
                <w:i w:val="0"/>
                <w:iCs w:val="0"/>
                <w:color w:val="000000"/>
                <w:sz w:val="24"/>
                <w:szCs w:val="24"/>
                <w:u w:val="none"/>
              </w:rPr>
            </w:pPr>
          </w:p>
        </w:tc>
        <w:tc>
          <w:tcPr>
            <w:tcW w:w="564" w:type="dxa"/>
            <w:vMerge w:val="continue"/>
            <w:tcBorders>
              <w:top w:val="single" w:color="000000" w:sz="4" w:space="0"/>
              <w:left w:val="single" w:color="000000" w:sz="4" w:space="0"/>
              <w:bottom w:val="nil"/>
              <w:right w:val="single" w:color="000000" w:sz="4" w:space="0"/>
            </w:tcBorders>
            <w:shd w:val="clear"/>
            <w:vAlign w:val="center"/>
          </w:tcPr>
          <w:p>
            <w:pPr>
              <w:jc w:val="center"/>
              <w:rPr>
                <w:rFonts w:hint="default" w:ascii="仿宋_GB2312" w:hAnsi="宋体" w:eastAsia="仿宋_GB2312" w:cs="仿宋_GB2312"/>
                <w:i w:val="0"/>
                <w:iCs w:val="0"/>
                <w:color w:val="000000"/>
                <w:sz w:val="24"/>
                <w:szCs w:val="24"/>
                <w:u w:val="none"/>
              </w:rPr>
            </w:pPr>
          </w:p>
        </w:tc>
        <w:tc>
          <w:tcPr>
            <w:tcW w:w="2409" w:type="dxa"/>
            <w:vMerge w:val="continue"/>
            <w:tcBorders>
              <w:top w:val="single" w:color="000000" w:sz="4" w:space="0"/>
              <w:left w:val="single" w:color="000000" w:sz="4" w:space="0"/>
              <w:bottom w:val="nil"/>
              <w:right w:val="single" w:color="000000" w:sz="4" w:space="0"/>
            </w:tcBorders>
            <w:shd w:val="clear"/>
            <w:noWrap/>
            <w:vAlign w:val="center"/>
          </w:tcPr>
          <w:p>
            <w:pPr>
              <w:jc w:val="center"/>
              <w:rPr>
                <w:rFonts w:hint="default" w:ascii="仿宋_GB2312" w:hAnsi="宋体" w:eastAsia="仿宋_GB2312" w:cs="仿宋_GB2312"/>
                <w:i w:val="0"/>
                <w:iCs w:val="0"/>
                <w:color w:val="000000"/>
                <w:sz w:val="24"/>
                <w:szCs w:val="24"/>
                <w:u w:val="none"/>
              </w:rPr>
            </w:pPr>
          </w:p>
        </w:tc>
        <w:tc>
          <w:tcPr>
            <w:tcW w:w="5291" w:type="dxa"/>
            <w:vMerge w:val="continue"/>
            <w:tcBorders>
              <w:top w:val="single" w:color="000000" w:sz="4" w:space="0"/>
              <w:left w:val="single" w:color="000000" w:sz="4" w:space="0"/>
              <w:bottom w:val="nil"/>
              <w:right w:val="single" w:color="000000" w:sz="4" w:space="0"/>
            </w:tcBorders>
            <w:shd w:val="clear"/>
            <w:noWrap/>
            <w:vAlign w:val="center"/>
          </w:tcPr>
          <w:p>
            <w:pPr>
              <w:jc w:val="center"/>
              <w:rPr>
                <w:rFonts w:hint="default"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59" w:hRule="atLeast"/>
        </w:trPr>
        <w:tc>
          <w:tcPr>
            <w:tcW w:w="93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价格评分</w:t>
            </w:r>
            <w:r>
              <w:rPr>
                <w:rFonts w:hint="default" w:ascii="仿宋_GB2312" w:hAnsi="宋体" w:eastAsia="仿宋_GB2312" w:cs="仿宋_GB2312"/>
                <w:i w:val="0"/>
                <w:iCs w:val="0"/>
                <w:color w:val="000000"/>
                <w:kern w:val="0"/>
                <w:sz w:val="24"/>
                <w:szCs w:val="24"/>
                <w:u w:val="none"/>
                <w:bdr w:val="none" w:color="auto" w:sz="0" w:space="0"/>
                <w:lang w:val="en-US" w:eastAsia="zh-CN" w:bidi="ar"/>
              </w:rPr>
              <w:br w:type="textWrapping"/>
            </w:r>
            <w:r>
              <w:rPr>
                <w:rFonts w:hint="default" w:ascii="仿宋_GB2312" w:hAnsi="宋体" w:eastAsia="仿宋_GB2312" w:cs="仿宋_GB2312"/>
                <w:i w:val="0"/>
                <w:iCs w:val="0"/>
                <w:color w:val="000000"/>
                <w:kern w:val="0"/>
                <w:sz w:val="24"/>
                <w:szCs w:val="24"/>
                <w:u w:val="none"/>
                <w:bdr w:val="none" w:color="auto" w:sz="0" w:space="0"/>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10</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投标报价</w:t>
            </w:r>
          </w:p>
        </w:tc>
        <w:tc>
          <w:tcPr>
            <w:tcW w:w="52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投标报价得分＝（评标基准价/投标报价）×价格分值【注：满足招标文件要求且投标价格最低的投标报价为评标基准价。】最低报价不是中标的唯一依据。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20" w:hRule="atLeast"/>
        </w:trPr>
        <w:tc>
          <w:tcPr>
            <w:tcW w:w="933" w:type="dxa"/>
            <w:vMerge w:val="restart"/>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商务评分</w:t>
            </w:r>
            <w:r>
              <w:rPr>
                <w:rFonts w:hint="default" w:ascii="仿宋_GB2312" w:hAnsi="宋体" w:eastAsia="仿宋_GB2312" w:cs="仿宋_GB2312"/>
                <w:i w:val="0"/>
                <w:iCs w:val="0"/>
                <w:color w:val="000000"/>
                <w:kern w:val="0"/>
                <w:sz w:val="24"/>
                <w:szCs w:val="24"/>
                <w:u w:val="none"/>
                <w:bdr w:val="none" w:color="auto" w:sz="0" w:space="0"/>
                <w:lang w:val="en-US" w:eastAsia="zh-CN" w:bidi="ar"/>
              </w:rPr>
              <w:br w:type="textWrapping"/>
            </w:r>
            <w:r>
              <w:rPr>
                <w:rFonts w:hint="default" w:ascii="仿宋_GB2312" w:hAnsi="宋体" w:eastAsia="仿宋_GB2312" w:cs="仿宋_GB2312"/>
                <w:i w:val="0"/>
                <w:iCs w:val="0"/>
                <w:color w:val="000000"/>
                <w:kern w:val="0"/>
                <w:sz w:val="24"/>
                <w:szCs w:val="24"/>
                <w:u w:val="none"/>
                <w:bdr w:val="none" w:color="auto" w:sz="0" w:space="0"/>
                <w:lang w:val="en-US" w:eastAsia="zh-CN" w:bidi="ar"/>
              </w:rPr>
              <w:t>（45分）</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10</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2019年以来监理项目经验</w:t>
            </w:r>
          </w:p>
        </w:tc>
        <w:tc>
          <w:tcPr>
            <w:tcW w:w="52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每具有一个监理项目得2分，以此类推，最高得10分。需提供2019年以来完成的监理项目合同或验收报告。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94" w:hRule="atLeast"/>
        </w:trPr>
        <w:tc>
          <w:tcPr>
            <w:tcW w:w="933" w:type="dxa"/>
            <w:vMerge w:val="continue"/>
            <w:tcBorders>
              <w:top w:val="single" w:color="000000" w:sz="4" w:space="0"/>
              <w:left w:val="single" w:color="000000" w:sz="4" w:space="0"/>
              <w:bottom w:val="nil"/>
              <w:right w:val="single" w:color="000000" w:sz="4" w:space="0"/>
            </w:tcBorders>
            <w:shd w:val="clear"/>
            <w:vAlign w:val="center"/>
          </w:tcPr>
          <w:p>
            <w:pPr>
              <w:jc w:val="center"/>
              <w:rPr>
                <w:rFonts w:hint="default"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15</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投标人具有完善的信息管理体系</w:t>
            </w:r>
          </w:p>
        </w:tc>
        <w:tc>
          <w:tcPr>
            <w:tcW w:w="52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Style w:val="9"/>
                <w:rFonts w:eastAsia="宋体"/>
                <w:bdr w:val="none" w:color="auto" w:sz="0" w:space="0"/>
                <w:lang w:val="en-US" w:eastAsia="zh-CN" w:bidi="ar"/>
              </w:rPr>
              <w:t>1</w:t>
            </w:r>
            <w:r>
              <w:rPr>
                <w:rStyle w:val="10"/>
                <w:rFonts w:hAnsi="Times New Roman"/>
                <w:bdr w:val="none" w:color="auto" w:sz="0" w:space="0"/>
                <w:lang w:val="en-US" w:eastAsia="zh-CN" w:bidi="ar"/>
              </w:rPr>
              <w:t>、具有中国电子企业协会颁发的信息系统工程监理服务标准贯标证书得</w:t>
            </w:r>
            <w:r>
              <w:rPr>
                <w:rStyle w:val="9"/>
                <w:rFonts w:eastAsia="宋体"/>
                <w:bdr w:val="none" w:color="auto" w:sz="0" w:space="0"/>
                <w:lang w:val="en-US" w:eastAsia="zh-CN" w:bidi="ar"/>
              </w:rPr>
              <w:t>3</w:t>
            </w:r>
            <w:r>
              <w:rPr>
                <w:rStyle w:val="10"/>
                <w:rFonts w:hAnsi="Times New Roman"/>
                <w:bdr w:val="none" w:color="auto" w:sz="0" w:space="0"/>
                <w:lang w:val="en-US" w:eastAsia="zh-CN" w:bidi="ar"/>
              </w:rPr>
              <w:t>分。</w:t>
            </w:r>
            <w:r>
              <w:rPr>
                <w:rStyle w:val="10"/>
                <w:rFonts w:hAnsi="Times New Roman"/>
                <w:bdr w:val="none" w:color="auto" w:sz="0" w:space="0"/>
                <w:lang w:val="en-US" w:eastAsia="zh-CN" w:bidi="ar"/>
              </w:rPr>
              <w:br w:type="textWrapping"/>
            </w:r>
            <w:r>
              <w:rPr>
                <w:rStyle w:val="9"/>
                <w:rFonts w:eastAsia="宋体"/>
                <w:bdr w:val="none" w:color="auto" w:sz="0" w:space="0"/>
                <w:lang w:val="en-US" w:eastAsia="zh-CN" w:bidi="ar"/>
              </w:rPr>
              <w:t>2</w:t>
            </w:r>
            <w:r>
              <w:rPr>
                <w:rStyle w:val="10"/>
                <w:rFonts w:hAnsi="Times New Roman"/>
                <w:bdr w:val="none" w:color="auto" w:sz="0" w:space="0"/>
                <w:lang w:val="en-US" w:eastAsia="zh-CN" w:bidi="ar"/>
              </w:rPr>
              <w:t>、具有中国工程咨询协会颁发的工程咨询单位甲级资信证书（专业为电子、信息工程）得</w:t>
            </w:r>
            <w:r>
              <w:rPr>
                <w:rStyle w:val="9"/>
                <w:rFonts w:eastAsia="宋体"/>
                <w:bdr w:val="none" w:color="auto" w:sz="0" w:space="0"/>
                <w:lang w:val="en-US" w:eastAsia="zh-CN" w:bidi="ar"/>
              </w:rPr>
              <w:t>3</w:t>
            </w:r>
            <w:r>
              <w:rPr>
                <w:rStyle w:val="10"/>
                <w:rFonts w:hAnsi="Times New Roman"/>
                <w:bdr w:val="none" w:color="auto" w:sz="0" w:space="0"/>
                <w:lang w:val="en-US" w:eastAsia="zh-CN" w:bidi="ar"/>
              </w:rPr>
              <w:t>分；</w:t>
            </w:r>
            <w:r>
              <w:rPr>
                <w:rStyle w:val="10"/>
                <w:rFonts w:hAnsi="Times New Roman"/>
                <w:bdr w:val="none" w:color="auto" w:sz="0" w:space="0"/>
                <w:lang w:val="en-US" w:eastAsia="zh-CN" w:bidi="ar"/>
              </w:rPr>
              <w:br w:type="textWrapping"/>
            </w:r>
            <w:r>
              <w:rPr>
                <w:rStyle w:val="9"/>
                <w:rFonts w:eastAsia="宋体"/>
                <w:bdr w:val="none" w:color="auto" w:sz="0" w:space="0"/>
                <w:lang w:val="en-US" w:eastAsia="zh-CN" w:bidi="ar"/>
              </w:rPr>
              <w:t>3</w:t>
            </w:r>
            <w:r>
              <w:rPr>
                <w:rStyle w:val="10"/>
                <w:rFonts w:hAnsi="Times New Roman"/>
                <w:bdr w:val="none" w:color="auto" w:sz="0" w:space="0"/>
                <w:lang w:val="en-US" w:eastAsia="zh-CN" w:bidi="ar"/>
              </w:rPr>
              <w:t>、具有城乡建设主管部门颁发的建筑智能化系统设计专项甲级资质，得</w:t>
            </w:r>
            <w:r>
              <w:rPr>
                <w:rStyle w:val="9"/>
                <w:rFonts w:eastAsia="宋体"/>
                <w:bdr w:val="none" w:color="auto" w:sz="0" w:space="0"/>
                <w:lang w:val="en-US" w:eastAsia="zh-CN" w:bidi="ar"/>
              </w:rPr>
              <w:t>3</w:t>
            </w:r>
            <w:r>
              <w:rPr>
                <w:rStyle w:val="10"/>
                <w:rFonts w:hAnsi="Times New Roman"/>
                <w:bdr w:val="none" w:color="auto" w:sz="0" w:space="0"/>
                <w:lang w:val="en-US" w:eastAsia="zh-CN" w:bidi="ar"/>
              </w:rPr>
              <w:t>分。</w:t>
            </w:r>
            <w:r>
              <w:rPr>
                <w:rStyle w:val="10"/>
                <w:rFonts w:hAnsi="Times New Roman"/>
                <w:bdr w:val="none" w:color="auto" w:sz="0" w:space="0"/>
                <w:lang w:val="en-US" w:eastAsia="zh-CN" w:bidi="ar"/>
              </w:rPr>
              <w:br w:type="textWrapping"/>
            </w:r>
            <w:r>
              <w:rPr>
                <w:rStyle w:val="9"/>
                <w:rFonts w:eastAsia="宋体"/>
                <w:bdr w:val="none" w:color="auto" w:sz="0" w:space="0"/>
                <w:lang w:val="en-US" w:eastAsia="zh-CN" w:bidi="ar"/>
              </w:rPr>
              <w:t>4</w:t>
            </w:r>
            <w:r>
              <w:rPr>
                <w:rStyle w:val="10"/>
                <w:rFonts w:hAnsi="Times New Roman"/>
                <w:bdr w:val="none" w:color="auto" w:sz="0" w:space="0"/>
                <w:lang w:val="en-US" w:eastAsia="zh-CN" w:bidi="ar"/>
              </w:rPr>
              <w:t>、具有以下管理体系认证证书，且认证范围（包括信息工程监理服务、信息系统工程咨询），全符合以下条件最高得</w:t>
            </w:r>
            <w:r>
              <w:rPr>
                <w:rStyle w:val="9"/>
                <w:rFonts w:eastAsia="宋体"/>
                <w:bdr w:val="none" w:color="auto" w:sz="0" w:space="0"/>
                <w:lang w:val="en-US" w:eastAsia="zh-CN" w:bidi="ar"/>
              </w:rPr>
              <w:t>6</w:t>
            </w:r>
            <w:r>
              <w:rPr>
                <w:rStyle w:val="10"/>
                <w:rFonts w:hAnsi="Times New Roman"/>
                <w:bdr w:val="none" w:color="auto" w:sz="0" w:space="0"/>
                <w:lang w:val="en-US" w:eastAsia="zh-CN" w:bidi="ar"/>
              </w:rPr>
              <w:t>分，每缺</w:t>
            </w:r>
            <w:r>
              <w:rPr>
                <w:rStyle w:val="9"/>
                <w:rFonts w:eastAsia="宋体"/>
                <w:bdr w:val="none" w:color="auto" w:sz="0" w:space="0"/>
                <w:lang w:val="en-US" w:eastAsia="zh-CN" w:bidi="ar"/>
              </w:rPr>
              <w:t>1</w:t>
            </w:r>
            <w:r>
              <w:rPr>
                <w:rStyle w:val="10"/>
                <w:rFonts w:hAnsi="Times New Roman"/>
                <w:bdr w:val="none" w:color="auto" w:sz="0" w:space="0"/>
                <w:lang w:val="en-US" w:eastAsia="zh-CN" w:bidi="ar"/>
              </w:rPr>
              <w:t>项扣</w:t>
            </w:r>
            <w:r>
              <w:rPr>
                <w:rStyle w:val="9"/>
                <w:rFonts w:eastAsia="宋体"/>
                <w:bdr w:val="none" w:color="auto" w:sz="0" w:space="0"/>
                <w:lang w:val="en-US" w:eastAsia="zh-CN" w:bidi="ar"/>
              </w:rPr>
              <w:t>2</w:t>
            </w:r>
            <w:r>
              <w:rPr>
                <w:rStyle w:val="10"/>
                <w:rFonts w:hAnsi="Times New Roman"/>
                <w:bdr w:val="none" w:color="auto" w:sz="0" w:space="0"/>
                <w:lang w:val="en-US" w:eastAsia="zh-CN" w:bidi="ar"/>
              </w:rPr>
              <w:t>分，最低得</w:t>
            </w:r>
            <w:r>
              <w:rPr>
                <w:rStyle w:val="9"/>
                <w:rFonts w:eastAsia="宋体"/>
                <w:bdr w:val="none" w:color="auto" w:sz="0" w:space="0"/>
                <w:lang w:val="en-US" w:eastAsia="zh-CN" w:bidi="ar"/>
              </w:rPr>
              <w:t>0</w:t>
            </w:r>
            <w:r>
              <w:rPr>
                <w:rStyle w:val="10"/>
                <w:rFonts w:hAnsi="Times New Roman"/>
                <w:bdr w:val="none" w:color="auto" w:sz="0" w:space="0"/>
                <w:lang w:val="en-US" w:eastAsia="zh-CN" w:bidi="ar"/>
              </w:rPr>
              <w:t>分。</w:t>
            </w:r>
            <w:r>
              <w:rPr>
                <w:rStyle w:val="10"/>
                <w:rFonts w:hAnsi="Times New Roman"/>
                <w:bdr w:val="none" w:color="auto" w:sz="0" w:space="0"/>
                <w:lang w:val="en-US" w:eastAsia="zh-CN" w:bidi="ar"/>
              </w:rPr>
              <w:br w:type="textWrapping"/>
            </w:r>
            <w:r>
              <w:rPr>
                <w:rStyle w:val="10"/>
                <w:rFonts w:hAnsi="Times New Roman"/>
                <w:bdr w:val="none" w:color="auto" w:sz="0" w:space="0"/>
                <w:lang w:val="en-US" w:eastAsia="zh-CN" w:bidi="ar"/>
              </w:rPr>
              <w:t>（</w:t>
            </w:r>
            <w:r>
              <w:rPr>
                <w:rStyle w:val="9"/>
                <w:rFonts w:eastAsia="宋体"/>
                <w:bdr w:val="none" w:color="auto" w:sz="0" w:space="0"/>
                <w:lang w:val="en-US" w:eastAsia="zh-CN" w:bidi="ar"/>
              </w:rPr>
              <w:t>1</w:t>
            </w:r>
            <w:r>
              <w:rPr>
                <w:rStyle w:val="10"/>
                <w:rFonts w:hAnsi="Times New Roman"/>
                <w:bdr w:val="none" w:color="auto" w:sz="0" w:space="0"/>
                <w:lang w:val="en-US" w:eastAsia="zh-CN" w:bidi="ar"/>
              </w:rPr>
              <w:t>）具有</w:t>
            </w:r>
            <w:r>
              <w:rPr>
                <w:rStyle w:val="9"/>
                <w:rFonts w:eastAsia="宋体"/>
                <w:bdr w:val="none" w:color="auto" w:sz="0" w:space="0"/>
                <w:lang w:val="en-US" w:eastAsia="zh-CN" w:bidi="ar"/>
              </w:rPr>
              <w:t>GB/T 27922</w:t>
            </w:r>
            <w:r>
              <w:rPr>
                <w:rStyle w:val="10"/>
                <w:rFonts w:hAnsi="Times New Roman"/>
                <w:bdr w:val="none" w:color="auto" w:sz="0" w:space="0"/>
                <w:lang w:val="en-US" w:eastAsia="zh-CN" w:bidi="ar"/>
              </w:rPr>
              <w:t>售后服务认证证书；</w:t>
            </w:r>
            <w:r>
              <w:rPr>
                <w:rStyle w:val="10"/>
                <w:rFonts w:hAnsi="Times New Roman"/>
                <w:bdr w:val="none" w:color="auto" w:sz="0" w:space="0"/>
                <w:lang w:val="en-US" w:eastAsia="zh-CN" w:bidi="ar"/>
              </w:rPr>
              <w:br w:type="textWrapping"/>
            </w:r>
            <w:r>
              <w:rPr>
                <w:rStyle w:val="10"/>
                <w:rFonts w:hAnsi="Times New Roman"/>
                <w:bdr w:val="none" w:color="auto" w:sz="0" w:space="0"/>
                <w:lang w:val="en-US" w:eastAsia="zh-CN" w:bidi="ar"/>
              </w:rPr>
              <w:t>（</w:t>
            </w:r>
            <w:r>
              <w:rPr>
                <w:rStyle w:val="9"/>
                <w:rFonts w:eastAsia="宋体"/>
                <w:bdr w:val="none" w:color="auto" w:sz="0" w:space="0"/>
                <w:lang w:val="en-US" w:eastAsia="zh-CN" w:bidi="ar"/>
              </w:rPr>
              <w:t>2</w:t>
            </w:r>
            <w:r>
              <w:rPr>
                <w:rStyle w:val="10"/>
                <w:rFonts w:hAnsi="Times New Roman"/>
                <w:bdr w:val="none" w:color="auto" w:sz="0" w:space="0"/>
                <w:lang w:val="en-US" w:eastAsia="zh-CN" w:bidi="ar"/>
              </w:rPr>
              <w:t>）具有</w:t>
            </w:r>
            <w:r>
              <w:rPr>
                <w:rStyle w:val="9"/>
                <w:rFonts w:eastAsia="宋体"/>
                <w:bdr w:val="none" w:color="auto" w:sz="0" w:space="0"/>
                <w:lang w:val="en-US" w:eastAsia="zh-CN" w:bidi="ar"/>
              </w:rPr>
              <w:t>ISO27001</w:t>
            </w:r>
            <w:r>
              <w:rPr>
                <w:rStyle w:val="10"/>
                <w:rFonts w:hAnsi="Times New Roman"/>
                <w:bdr w:val="none" w:color="auto" w:sz="0" w:space="0"/>
                <w:lang w:val="en-US" w:eastAsia="zh-CN" w:bidi="ar"/>
              </w:rPr>
              <w:t>信息安全管理体系认证证书；</w:t>
            </w:r>
            <w:r>
              <w:rPr>
                <w:rStyle w:val="10"/>
                <w:rFonts w:hAnsi="Times New Roman"/>
                <w:bdr w:val="none" w:color="auto" w:sz="0" w:space="0"/>
                <w:lang w:val="en-US" w:eastAsia="zh-CN" w:bidi="ar"/>
              </w:rPr>
              <w:br w:type="textWrapping"/>
            </w:r>
            <w:r>
              <w:rPr>
                <w:rStyle w:val="10"/>
                <w:rFonts w:hAnsi="Times New Roman"/>
                <w:bdr w:val="none" w:color="auto" w:sz="0" w:space="0"/>
                <w:lang w:val="en-US" w:eastAsia="zh-CN" w:bidi="ar"/>
              </w:rPr>
              <w:t>（</w:t>
            </w:r>
            <w:r>
              <w:rPr>
                <w:rStyle w:val="9"/>
                <w:rFonts w:eastAsia="宋体"/>
                <w:bdr w:val="none" w:color="auto" w:sz="0" w:space="0"/>
                <w:lang w:val="en-US" w:eastAsia="zh-CN" w:bidi="ar"/>
              </w:rPr>
              <w:t>3</w:t>
            </w:r>
            <w:r>
              <w:rPr>
                <w:rStyle w:val="10"/>
                <w:rFonts w:hAnsi="Times New Roman"/>
                <w:bdr w:val="none" w:color="auto" w:sz="0" w:space="0"/>
                <w:lang w:val="en-US" w:eastAsia="zh-CN" w:bidi="ar"/>
              </w:rPr>
              <w:t>）具有</w:t>
            </w:r>
            <w:r>
              <w:rPr>
                <w:rStyle w:val="9"/>
                <w:rFonts w:eastAsia="宋体"/>
                <w:bdr w:val="none" w:color="auto" w:sz="0" w:space="0"/>
                <w:lang w:val="en-US" w:eastAsia="zh-CN" w:bidi="ar"/>
              </w:rPr>
              <w:t>ISO20000</w:t>
            </w:r>
            <w:r>
              <w:rPr>
                <w:rStyle w:val="10"/>
                <w:rFonts w:hAnsi="Times New Roman"/>
                <w:bdr w:val="none" w:color="auto" w:sz="0" w:space="0"/>
                <w:lang w:val="en-US" w:eastAsia="zh-CN" w:bidi="ar"/>
              </w:rPr>
              <w:t>信息技术服务体系认证证书。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7" w:hRule="atLeast"/>
        </w:trPr>
        <w:tc>
          <w:tcPr>
            <w:tcW w:w="933" w:type="dxa"/>
            <w:vMerge w:val="continue"/>
            <w:tcBorders>
              <w:top w:val="single" w:color="000000" w:sz="4" w:space="0"/>
              <w:left w:val="single" w:color="000000" w:sz="4" w:space="0"/>
              <w:bottom w:val="nil"/>
              <w:right w:val="single" w:color="000000" w:sz="4" w:space="0"/>
            </w:tcBorders>
            <w:shd w:val="clear"/>
            <w:vAlign w:val="center"/>
          </w:tcPr>
          <w:p>
            <w:pPr>
              <w:jc w:val="center"/>
              <w:rPr>
                <w:rFonts w:hint="default" w:ascii="仿宋_GB2312" w:hAnsi="宋体" w:eastAsia="仿宋_GB2312" w:cs="仿宋_GB2312"/>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20</w:t>
            </w:r>
          </w:p>
        </w:tc>
        <w:tc>
          <w:tcPr>
            <w:tcW w:w="2409" w:type="dxa"/>
            <w:vMerge w:val="restart"/>
            <w:tcBorders>
              <w:top w:val="single" w:color="000000" w:sz="4" w:space="0"/>
              <w:left w:val="single" w:color="000000" w:sz="4" w:space="0"/>
              <w:bottom w:val="single" w:color="000000" w:sz="4" w:space="0"/>
              <w:right w:val="single" w:color="000000" w:sz="4" w:space="0"/>
            </w:tcBorders>
            <w:shd w:val="clear"/>
            <w:vAlign w:val="top"/>
          </w:tcPr>
          <w:p>
            <w:pPr>
              <w:keepNext w:val="0"/>
              <w:keepLines w:val="0"/>
              <w:widowControl/>
              <w:suppressLineNumbers w:val="0"/>
              <w:jc w:val="left"/>
              <w:textAlignment w:val="top"/>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项目团队能力水平</w:t>
            </w:r>
            <w:r>
              <w:rPr>
                <w:rFonts w:hint="default" w:ascii="仿宋_GB2312" w:hAnsi="宋体" w:eastAsia="仿宋_GB2312" w:cs="仿宋_GB2312"/>
                <w:i w:val="0"/>
                <w:iCs w:val="0"/>
                <w:color w:val="000000"/>
                <w:kern w:val="0"/>
                <w:sz w:val="24"/>
                <w:szCs w:val="24"/>
                <w:u w:val="none"/>
                <w:bdr w:val="none" w:color="auto" w:sz="0" w:space="0"/>
                <w:lang w:val="en-US" w:eastAsia="zh-CN" w:bidi="ar"/>
              </w:rPr>
              <w:br w:type="textWrapping"/>
            </w:r>
            <w:r>
              <w:rPr>
                <w:rFonts w:hint="default" w:ascii="仿宋_GB2312" w:hAnsi="宋体" w:eastAsia="仿宋_GB2312" w:cs="仿宋_GB2312"/>
                <w:i w:val="0"/>
                <w:iCs w:val="0"/>
                <w:color w:val="000000"/>
                <w:kern w:val="0"/>
                <w:sz w:val="24"/>
                <w:szCs w:val="24"/>
                <w:u w:val="none"/>
                <w:bdr w:val="none" w:color="auto" w:sz="0" w:space="0"/>
                <w:lang w:val="en-US" w:eastAsia="zh-CN" w:bidi="ar"/>
              </w:rPr>
              <w:t>（同一人只能按照项目组成员中的一个角色进行计分）</w:t>
            </w:r>
            <w:r>
              <w:rPr>
                <w:rFonts w:hint="default" w:ascii="仿宋_GB2312" w:hAnsi="宋体" w:eastAsia="仿宋_GB2312" w:cs="仿宋_GB2312"/>
                <w:i w:val="0"/>
                <w:iCs w:val="0"/>
                <w:color w:val="000000"/>
                <w:kern w:val="0"/>
                <w:sz w:val="24"/>
                <w:szCs w:val="24"/>
                <w:u w:val="none"/>
                <w:bdr w:val="none" w:color="auto" w:sz="0" w:space="0"/>
                <w:lang w:val="en-US" w:eastAsia="zh-CN" w:bidi="ar"/>
              </w:rPr>
              <w:br w:type="textWrapping"/>
            </w:r>
            <w:r>
              <w:rPr>
                <w:rFonts w:hint="default" w:ascii="仿宋_GB2312" w:hAnsi="宋体" w:eastAsia="仿宋_GB2312" w:cs="仿宋_GB2312"/>
                <w:i w:val="0"/>
                <w:iCs w:val="0"/>
                <w:color w:val="000000"/>
                <w:kern w:val="0"/>
                <w:sz w:val="24"/>
                <w:szCs w:val="24"/>
                <w:u w:val="none"/>
                <w:bdr w:val="none" w:color="auto" w:sz="0" w:space="0"/>
                <w:lang w:val="en-US" w:eastAsia="zh-CN" w:bidi="ar"/>
              </w:rPr>
              <w:t>须提供在本公司任职的外部证明材料（有关部门打印日期在本项目投标截止日之前连续三个月的本地《投保单》或《社会保险参保证明》，或单位代缴个人所得税税单。）</w:t>
            </w:r>
          </w:p>
        </w:tc>
        <w:tc>
          <w:tcPr>
            <w:tcW w:w="52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项目总监能力水平：具有本科及以上学位，并具有信息系统监理师资格证书、ITIL（服务管理）认证证书，得2分；同时符合以下条件的，每项加2分，最高得12分。</w:t>
            </w:r>
            <w:r>
              <w:rPr>
                <w:rFonts w:hint="default" w:ascii="仿宋_GB2312" w:hAnsi="宋体" w:eastAsia="仿宋_GB2312" w:cs="仿宋_GB2312"/>
                <w:i w:val="0"/>
                <w:iCs w:val="0"/>
                <w:color w:val="000000"/>
                <w:kern w:val="0"/>
                <w:sz w:val="24"/>
                <w:szCs w:val="24"/>
                <w:u w:val="none"/>
                <w:bdr w:val="none" w:color="auto" w:sz="0" w:space="0"/>
                <w:lang w:val="en-US" w:eastAsia="zh-CN" w:bidi="ar"/>
              </w:rPr>
              <w:br w:type="textWrapping"/>
            </w:r>
            <w:r>
              <w:rPr>
                <w:rFonts w:hint="default" w:ascii="仿宋_GB2312" w:hAnsi="宋体" w:eastAsia="仿宋_GB2312" w:cs="仿宋_GB2312"/>
                <w:i w:val="0"/>
                <w:iCs w:val="0"/>
                <w:color w:val="000000"/>
                <w:kern w:val="0"/>
                <w:sz w:val="24"/>
                <w:szCs w:val="24"/>
                <w:u w:val="none"/>
                <w:bdr w:val="none" w:color="auto" w:sz="0" w:space="0"/>
                <w:lang w:val="en-US" w:eastAsia="zh-CN" w:bidi="ar"/>
              </w:rPr>
              <w:t>（1）软件性能测试高级工程师证书；</w:t>
            </w:r>
            <w:r>
              <w:rPr>
                <w:rFonts w:hint="default" w:ascii="仿宋_GB2312" w:hAnsi="宋体" w:eastAsia="仿宋_GB2312" w:cs="仿宋_GB2312"/>
                <w:i w:val="0"/>
                <w:iCs w:val="0"/>
                <w:color w:val="000000"/>
                <w:kern w:val="0"/>
                <w:sz w:val="24"/>
                <w:szCs w:val="24"/>
                <w:u w:val="none"/>
                <w:bdr w:val="none" w:color="auto" w:sz="0" w:space="0"/>
                <w:lang w:val="en-US" w:eastAsia="zh-CN" w:bidi="ar"/>
              </w:rPr>
              <w:br w:type="textWrapping"/>
            </w:r>
            <w:r>
              <w:rPr>
                <w:rFonts w:hint="default" w:ascii="仿宋_GB2312" w:hAnsi="宋体" w:eastAsia="仿宋_GB2312" w:cs="仿宋_GB2312"/>
                <w:i w:val="0"/>
                <w:iCs w:val="0"/>
                <w:color w:val="000000"/>
                <w:kern w:val="0"/>
                <w:sz w:val="24"/>
                <w:szCs w:val="24"/>
                <w:u w:val="none"/>
                <w:bdr w:val="none" w:color="auto" w:sz="0" w:space="0"/>
                <w:lang w:val="en-US" w:eastAsia="zh-CN" w:bidi="ar"/>
              </w:rPr>
              <w:t>（2）注册信息安全专业人员（CISP)证书；</w:t>
            </w:r>
            <w:r>
              <w:rPr>
                <w:rFonts w:hint="default" w:ascii="仿宋_GB2312" w:hAnsi="宋体" w:eastAsia="仿宋_GB2312" w:cs="仿宋_GB2312"/>
                <w:i w:val="0"/>
                <w:iCs w:val="0"/>
                <w:color w:val="000000"/>
                <w:kern w:val="0"/>
                <w:sz w:val="24"/>
                <w:szCs w:val="24"/>
                <w:u w:val="none"/>
                <w:bdr w:val="none" w:color="auto" w:sz="0" w:space="0"/>
                <w:lang w:val="en-US" w:eastAsia="zh-CN" w:bidi="ar"/>
              </w:rPr>
              <w:br w:type="textWrapping"/>
            </w:r>
            <w:r>
              <w:rPr>
                <w:rFonts w:hint="default" w:ascii="仿宋_GB2312" w:hAnsi="宋体" w:eastAsia="仿宋_GB2312" w:cs="仿宋_GB2312"/>
                <w:i w:val="0"/>
                <w:iCs w:val="0"/>
                <w:color w:val="000000"/>
                <w:kern w:val="0"/>
                <w:sz w:val="24"/>
                <w:szCs w:val="24"/>
                <w:u w:val="none"/>
                <w:bdr w:val="none" w:color="auto" w:sz="0" w:space="0"/>
                <w:lang w:val="en-US" w:eastAsia="zh-CN" w:bidi="ar"/>
              </w:rPr>
              <w:t>（3）软件工程造价师证书；</w:t>
            </w:r>
            <w:r>
              <w:rPr>
                <w:rFonts w:hint="default" w:ascii="仿宋_GB2312" w:hAnsi="宋体" w:eastAsia="仿宋_GB2312" w:cs="仿宋_GB2312"/>
                <w:i w:val="0"/>
                <w:iCs w:val="0"/>
                <w:color w:val="000000"/>
                <w:kern w:val="0"/>
                <w:sz w:val="24"/>
                <w:szCs w:val="24"/>
                <w:u w:val="none"/>
                <w:bdr w:val="none" w:color="auto" w:sz="0" w:space="0"/>
                <w:lang w:val="en-US" w:eastAsia="zh-CN" w:bidi="ar"/>
              </w:rPr>
              <w:br w:type="textWrapping"/>
            </w:r>
            <w:r>
              <w:rPr>
                <w:rFonts w:hint="default" w:ascii="仿宋_GB2312" w:hAnsi="宋体" w:eastAsia="仿宋_GB2312" w:cs="仿宋_GB2312"/>
                <w:i w:val="0"/>
                <w:iCs w:val="0"/>
                <w:color w:val="000000"/>
                <w:kern w:val="0"/>
                <w:sz w:val="24"/>
                <w:szCs w:val="24"/>
                <w:u w:val="none"/>
                <w:bdr w:val="none" w:color="auto" w:sz="0" w:space="0"/>
                <w:lang w:val="en-US" w:eastAsia="zh-CN" w:bidi="ar"/>
              </w:rPr>
              <w:t>（4）IT审计师证书；</w:t>
            </w:r>
            <w:r>
              <w:rPr>
                <w:rFonts w:hint="default" w:ascii="仿宋_GB2312" w:hAnsi="宋体" w:eastAsia="仿宋_GB2312" w:cs="仿宋_GB2312"/>
                <w:i w:val="0"/>
                <w:iCs w:val="0"/>
                <w:color w:val="000000"/>
                <w:kern w:val="0"/>
                <w:sz w:val="24"/>
                <w:szCs w:val="24"/>
                <w:u w:val="none"/>
                <w:bdr w:val="none" w:color="auto" w:sz="0" w:space="0"/>
                <w:lang w:val="en-US" w:eastAsia="zh-CN" w:bidi="ar"/>
              </w:rPr>
              <w:br w:type="textWrapping"/>
            </w:r>
            <w:r>
              <w:rPr>
                <w:rFonts w:hint="default" w:ascii="仿宋_GB2312" w:hAnsi="宋体" w:eastAsia="仿宋_GB2312" w:cs="仿宋_GB2312"/>
                <w:i w:val="0"/>
                <w:iCs w:val="0"/>
                <w:color w:val="000000"/>
                <w:kern w:val="0"/>
                <w:sz w:val="24"/>
                <w:szCs w:val="24"/>
                <w:u w:val="none"/>
                <w:bdr w:val="none" w:color="auto" w:sz="0" w:space="0"/>
                <w:lang w:val="en-US" w:eastAsia="zh-CN" w:bidi="ar"/>
              </w:rPr>
              <w:t>（5）担负过 3 个以上信息系统工程项目的总监理工程师。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33" w:hRule="atLeast"/>
        </w:trPr>
        <w:tc>
          <w:tcPr>
            <w:tcW w:w="933" w:type="dxa"/>
            <w:vMerge w:val="continue"/>
            <w:tcBorders>
              <w:top w:val="single" w:color="000000" w:sz="4" w:space="0"/>
              <w:left w:val="single" w:color="000000" w:sz="4" w:space="0"/>
              <w:bottom w:val="nil"/>
              <w:right w:val="single" w:color="000000" w:sz="4" w:space="0"/>
            </w:tcBorders>
            <w:shd w:val="clear"/>
            <w:vAlign w:val="center"/>
          </w:tcPr>
          <w:p>
            <w:pPr>
              <w:jc w:val="center"/>
              <w:rPr>
                <w:rFonts w:hint="default"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default" w:ascii="仿宋_GB2312" w:hAnsi="宋体" w:eastAsia="仿宋_GB2312" w:cs="仿宋_GB2312"/>
                <w:i w:val="0"/>
                <w:iCs w:val="0"/>
                <w:color w:val="000000"/>
                <w:sz w:val="24"/>
                <w:szCs w:val="24"/>
                <w:u w:val="none"/>
              </w:rPr>
            </w:pPr>
          </w:p>
        </w:tc>
        <w:tc>
          <w:tcPr>
            <w:tcW w:w="2409" w:type="dxa"/>
            <w:vMerge w:val="continue"/>
            <w:tcBorders>
              <w:top w:val="single" w:color="000000" w:sz="4" w:space="0"/>
              <w:left w:val="single" w:color="000000" w:sz="4" w:space="0"/>
              <w:bottom w:val="single" w:color="000000" w:sz="4" w:space="0"/>
              <w:right w:val="single" w:color="000000" w:sz="4" w:space="0"/>
            </w:tcBorders>
            <w:shd w:val="clear"/>
            <w:vAlign w:val="top"/>
          </w:tcPr>
          <w:p>
            <w:pPr>
              <w:jc w:val="left"/>
              <w:rPr>
                <w:rFonts w:hint="default" w:ascii="仿宋_GB2312" w:hAnsi="宋体" w:eastAsia="仿宋_GB2312" w:cs="仿宋_GB2312"/>
                <w:i w:val="0"/>
                <w:iCs w:val="0"/>
                <w:color w:val="000000"/>
                <w:sz w:val="24"/>
                <w:szCs w:val="24"/>
                <w:u w:val="none"/>
              </w:rPr>
            </w:pPr>
          </w:p>
        </w:tc>
        <w:tc>
          <w:tcPr>
            <w:tcW w:w="52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监理工程师水平：具有信息系统监理师资格证书，并同时符合以下条件的，每项得2分，最高得8分。</w:t>
            </w:r>
            <w:r>
              <w:rPr>
                <w:rFonts w:hint="default" w:ascii="仿宋_GB2312" w:hAnsi="宋体" w:eastAsia="仿宋_GB2312" w:cs="仿宋_GB2312"/>
                <w:i w:val="0"/>
                <w:iCs w:val="0"/>
                <w:color w:val="000000"/>
                <w:kern w:val="0"/>
                <w:sz w:val="24"/>
                <w:szCs w:val="24"/>
                <w:u w:val="none"/>
                <w:bdr w:val="none" w:color="auto" w:sz="0" w:space="0"/>
                <w:lang w:val="en-US" w:eastAsia="zh-CN" w:bidi="ar"/>
              </w:rPr>
              <w:br w:type="textWrapping"/>
            </w:r>
            <w:r>
              <w:rPr>
                <w:rFonts w:hint="default" w:ascii="仿宋_GB2312" w:hAnsi="宋体" w:eastAsia="仿宋_GB2312" w:cs="仿宋_GB2312"/>
                <w:i w:val="0"/>
                <w:iCs w:val="0"/>
                <w:color w:val="000000"/>
                <w:kern w:val="0"/>
                <w:sz w:val="24"/>
                <w:szCs w:val="24"/>
                <w:u w:val="none"/>
                <w:bdr w:val="none" w:color="auto" w:sz="0" w:space="0"/>
                <w:lang w:val="en-US" w:eastAsia="zh-CN" w:bidi="ar"/>
              </w:rPr>
              <w:t xml:space="preserve">（1）网络规划设计师证书                                                  </w:t>
            </w:r>
            <w:r>
              <w:rPr>
                <w:rFonts w:hint="default" w:ascii="仿宋_GB2312" w:hAnsi="宋体" w:eastAsia="仿宋_GB2312" w:cs="仿宋_GB2312"/>
                <w:i w:val="0"/>
                <w:iCs w:val="0"/>
                <w:color w:val="000000"/>
                <w:kern w:val="0"/>
                <w:sz w:val="24"/>
                <w:szCs w:val="24"/>
                <w:u w:val="none"/>
                <w:bdr w:val="none" w:color="auto" w:sz="0" w:space="0"/>
                <w:lang w:val="en-US" w:eastAsia="zh-CN" w:bidi="ar"/>
              </w:rPr>
              <w:br w:type="textWrapping"/>
            </w:r>
            <w:r>
              <w:rPr>
                <w:rFonts w:hint="default" w:ascii="仿宋_GB2312" w:hAnsi="宋体" w:eastAsia="仿宋_GB2312" w:cs="仿宋_GB2312"/>
                <w:i w:val="0"/>
                <w:iCs w:val="0"/>
                <w:color w:val="000000"/>
                <w:kern w:val="0"/>
                <w:sz w:val="24"/>
                <w:szCs w:val="24"/>
                <w:u w:val="none"/>
                <w:bdr w:val="none" w:color="auto" w:sz="0" w:space="0"/>
                <w:lang w:val="en-US" w:eastAsia="zh-CN" w:bidi="ar"/>
              </w:rPr>
              <w:t>（2）软件性能测试高级工程师证书</w:t>
            </w:r>
            <w:r>
              <w:rPr>
                <w:rFonts w:hint="default" w:ascii="仿宋_GB2312" w:hAnsi="宋体" w:eastAsia="仿宋_GB2312" w:cs="仿宋_GB2312"/>
                <w:i w:val="0"/>
                <w:iCs w:val="0"/>
                <w:color w:val="000000"/>
                <w:kern w:val="0"/>
                <w:sz w:val="24"/>
                <w:szCs w:val="24"/>
                <w:u w:val="none"/>
                <w:bdr w:val="none" w:color="auto" w:sz="0" w:space="0"/>
                <w:lang w:val="en-US" w:eastAsia="zh-CN" w:bidi="ar"/>
              </w:rPr>
              <w:br w:type="textWrapping"/>
            </w:r>
            <w:r>
              <w:rPr>
                <w:rFonts w:hint="default" w:ascii="仿宋_GB2312" w:hAnsi="宋体" w:eastAsia="仿宋_GB2312" w:cs="仿宋_GB2312"/>
                <w:i w:val="0"/>
                <w:iCs w:val="0"/>
                <w:color w:val="000000"/>
                <w:kern w:val="0"/>
                <w:sz w:val="24"/>
                <w:szCs w:val="24"/>
                <w:u w:val="none"/>
                <w:bdr w:val="none" w:color="auto" w:sz="0" w:space="0"/>
                <w:lang w:val="en-US" w:eastAsia="zh-CN" w:bidi="ar"/>
              </w:rPr>
              <w:t>（3）软件工程造价师证书</w:t>
            </w:r>
            <w:r>
              <w:rPr>
                <w:rFonts w:hint="default" w:ascii="仿宋_GB2312" w:hAnsi="宋体" w:eastAsia="仿宋_GB2312" w:cs="仿宋_GB2312"/>
                <w:i w:val="0"/>
                <w:iCs w:val="0"/>
                <w:color w:val="000000"/>
                <w:kern w:val="0"/>
                <w:sz w:val="24"/>
                <w:szCs w:val="24"/>
                <w:u w:val="none"/>
                <w:bdr w:val="none" w:color="auto" w:sz="0" w:space="0"/>
                <w:lang w:val="en-US" w:eastAsia="zh-CN" w:bidi="ar"/>
              </w:rPr>
              <w:br w:type="textWrapping"/>
            </w:r>
            <w:r>
              <w:rPr>
                <w:rFonts w:hint="default" w:ascii="仿宋_GB2312" w:hAnsi="宋体" w:eastAsia="仿宋_GB2312" w:cs="仿宋_GB2312"/>
                <w:i w:val="0"/>
                <w:iCs w:val="0"/>
                <w:color w:val="000000"/>
                <w:kern w:val="0"/>
                <w:sz w:val="24"/>
                <w:szCs w:val="24"/>
                <w:u w:val="none"/>
                <w:bdr w:val="none" w:color="auto" w:sz="0" w:space="0"/>
                <w:lang w:val="en-US" w:eastAsia="zh-CN" w:bidi="ar"/>
              </w:rPr>
              <w:t>（4）信息系统项目管理师证书</w:t>
            </w:r>
            <w:r>
              <w:rPr>
                <w:rFonts w:hint="default" w:ascii="仿宋_GB2312" w:hAnsi="宋体" w:eastAsia="仿宋_GB2312" w:cs="仿宋_GB2312"/>
                <w:i w:val="0"/>
                <w:iCs w:val="0"/>
                <w:color w:val="000000"/>
                <w:kern w:val="0"/>
                <w:sz w:val="24"/>
                <w:szCs w:val="24"/>
                <w:u w:val="none"/>
                <w:bdr w:val="none" w:color="auto" w:sz="0" w:space="0"/>
                <w:lang w:val="en-US" w:eastAsia="zh-CN" w:bidi="ar"/>
              </w:rPr>
              <w:br w:type="textWrapping"/>
            </w:r>
            <w:r>
              <w:rPr>
                <w:rFonts w:hint="default" w:ascii="仿宋_GB2312" w:hAnsi="宋体" w:eastAsia="仿宋_GB2312" w:cs="仿宋_GB2312"/>
                <w:i w:val="0"/>
                <w:iCs w:val="0"/>
                <w:color w:val="000000"/>
                <w:kern w:val="0"/>
                <w:sz w:val="24"/>
                <w:szCs w:val="24"/>
                <w:u w:val="none"/>
                <w:bdr w:val="none" w:color="auto" w:sz="0" w:space="0"/>
                <w:lang w:val="en-US" w:eastAsia="zh-CN" w:bidi="ar"/>
              </w:rPr>
              <w:t>同一人符合上述多项条件的，只计算一次，不可重复加分。</w:t>
            </w:r>
            <w:r>
              <w:rPr>
                <w:rFonts w:hint="default" w:ascii="仿宋_GB2312" w:hAnsi="宋体" w:eastAsia="仿宋_GB2312" w:cs="仿宋_GB2312"/>
                <w:i w:val="0"/>
                <w:iCs w:val="0"/>
                <w:color w:val="000000"/>
                <w:kern w:val="0"/>
                <w:sz w:val="24"/>
                <w:szCs w:val="24"/>
                <w:u w:val="none"/>
                <w:bdr w:val="none" w:color="auto" w:sz="0" w:space="0"/>
                <w:lang w:val="en-US" w:eastAsia="zh-CN" w:bidi="ar"/>
              </w:rPr>
              <w:br w:type="textWrapping"/>
            </w:r>
            <w:r>
              <w:rPr>
                <w:rFonts w:hint="default" w:ascii="仿宋_GB2312" w:hAnsi="宋体" w:eastAsia="仿宋_GB2312" w:cs="仿宋_GB2312"/>
                <w:i w:val="0"/>
                <w:iCs w:val="0"/>
                <w:color w:val="000000"/>
                <w:kern w:val="0"/>
                <w:sz w:val="24"/>
                <w:szCs w:val="24"/>
                <w:u w:val="none"/>
                <w:bdr w:val="none" w:color="auto" w:sz="0" w:space="0"/>
                <w:lang w:val="en-US" w:eastAsia="zh-CN" w:bidi="ar"/>
              </w:rPr>
              <w:t>（须提供近3个月在投标人单位任职社保证明材料及资格证书扫描件复印件，不提供不得分）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8" w:hRule="atLeast"/>
        </w:trPr>
        <w:tc>
          <w:tcPr>
            <w:tcW w:w="933"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技术评分</w:t>
            </w:r>
            <w:r>
              <w:rPr>
                <w:rFonts w:hint="default" w:ascii="仿宋_GB2312" w:hAnsi="宋体" w:eastAsia="仿宋_GB2312" w:cs="仿宋_GB2312"/>
                <w:i w:val="0"/>
                <w:iCs w:val="0"/>
                <w:color w:val="000000"/>
                <w:kern w:val="0"/>
                <w:sz w:val="24"/>
                <w:szCs w:val="24"/>
                <w:u w:val="none"/>
                <w:bdr w:val="none" w:color="auto" w:sz="0" w:space="0"/>
                <w:lang w:val="en-US" w:eastAsia="zh-CN" w:bidi="ar"/>
              </w:rPr>
              <w:br w:type="textWrapping"/>
            </w:r>
            <w:r>
              <w:rPr>
                <w:rFonts w:hint="default" w:ascii="仿宋_GB2312" w:hAnsi="宋体" w:eastAsia="仿宋_GB2312" w:cs="仿宋_GB2312"/>
                <w:i w:val="0"/>
                <w:iCs w:val="0"/>
                <w:color w:val="000000"/>
                <w:kern w:val="0"/>
                <w:sz w:val="24"/>
                <w:szCs w:val="24"/>
                <w:u w:val="none"/>
                <w:bdr w:val="none" w:color="auto" w:sz="0" w:space="0"/>
                <w:lang w:val="en-US" w:eastAsia="zh-CN" w:bidi="ar"/>
              </w:rPr>
              <w:t>（45分）</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45</w:t>
            </w:r>
          </w:p>
        </w:tc>
        <w:tc>
          <w:tcPr>
            <w:tcW w:w="2409"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技术参数技术响应情况</w:t>
            </w:r>
          </w:p>
        </w:tc>
        <w:tc>
          <w:tcPr>
            <w:tcW w:w="5291"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4"/>
                <w:szCs w:val="24"/>
                <w:u w:val="none"/>
              </w:rPr>
            </w:pPr>
            <w:r>
              <w:rPr>
                <w:rStyle w:val="11"/>
                <w:rFonts w:hAnsi="宋体"/>
                <w:bdr w:val="none" w:color="auto" w:sz="0" w:space="0"/>
                <w:lang w:val="en-US" w:eastAsia="zh-CN" w:bidi="ar"/>
              </w:rPr>
              <w:t>1、技术方案响应情况，横向比较最优者得10分，次优者得5分，其他得1分；</w:t>
            </w:r>
            <w:r>
              <w:rPr>
                <w:rStyle w:val="11"/>
                <w:rFonts w:hAnsi="宋体"/>
                <w:bdr w:val="none" w:color="auto" w:sz="0" w:space="0"/>
                <w:lang w:val="en-US" w:eastAsia="zh-CN" w:bidi="ar"/>
              </w:rPr>
              <w:br w:type="textWrapping"/>
            </w:r>
            <w:r>
              <w:rPr>
                <w:rStyle w:val="11"/>
                <w:rFonts w:hAnsi="宋体"/>
                <w:bdr w:val="none" w:color="auto" w:sz="0" w:space="0"/>
                <w:lang w:val="en-US" w:eastAsia="zh-CN" w:bidi="ar"/>
              </w:rPr>
              <w:t>2、技术方案中提供《监理工作常用工作表格》每份得1分，最多得10分；</w:t>
            </w:r>
            <w:r>
              <w:rPr>
                <w:rStyle w:val="11"/>
                <w:rFonts w:hAnsi="宋体"/>
                <w:bdr w:val="none" w:color="auto" w:sz="0" w:space="0"/>
                <w:lang w:val="en-US" w:eastAsia="zh-CN" w:bidi="ar"/>
              </w:rPr>
              <w:br w:type="textWrapping"/>
            </w:r>
            <w:r>
              <w:rPr>
                <w:rStyle w:val="11"/>
                <w:rFonts w:hAnsi="宋体"/>
                <w:bdr w:val="none" w:color="auto" w:sz="0" w:space="0"/>
                <w:lang w:val="en-US" w:eastAsia="zh-CN" w:bidi="ar"/>
              </w:rPr>
              <w:t xml:space="preserve">3、技术方案中具有变更控制方面内容得10分，其它得5分；         </w:t>
            </w:r>
            <w:r>
              <w:rPr>
                <w:rStyle w:val="11"/>
                <w:rFonts w:hAnsi="宋体"/>
                <w:bdr w:val="none" w:color="auto" w:sz="0" w:space="0"/>
                <w:lang w:val="en-US" w:eastAsia="zh-CN" w:bidi="ar"/>
              </w:rPr>
              <w:br w:type="textWrapping"/>
            </w:r>
            <w:r>
              <w:rPr>
                <w:rStyle w:val="11"/>
                <w:rFonts w:hAnsi="宋体"/>
                <w:bdr w:val="none" w:color="auto" w:sz="0" w:space="0"/>
                <w:lang w:val="en-US" w:eastAsia="zh-CN" w:bidi="ar"/>
              </w:rPr>
              <w:t>4、技术方案中提</w:t>
            </w:r>
            <w:r>
              <w:rPr>
                <w:rStyle w:val="12"/>
                <w:bdr w:val="none" w:color="auto" w:sz="0" w:space="0"/>
                <w:lang w:val="en-US" w:eastAsia="zh-CN" w:bidi="ar"/>
              </w:rPr>
              <w:t>供</w:t>
            </w:r>
            <w:r>
              <w:rPr>
                <w:rStyle w:val="10"/>
                <w:rFonts w:hAnsi="宋体"/>
                <w:bdr w:val="none" w:color="auto" w:sz="0" w:space="0"/>
                <w:lang w:val="en-US" w:eastAsia="zh-CN" w:bidi="ar"/>
              </w:rPr>
              <w:t>验收方案的得</w:t>
            </w:r>
            <w:r>
              <w:rPr>
                <w:rStyle w:val="11"/>
                <w:rFonts w:hAnsi="宋体"/>
                <w:bdr w:val="none" w:color="auto" w:sz="0" w:space="0"/>
                <w:lang w:val="en-US" w:eastAsia="zh-CN" w:bidi="ar"/>
              </w:rPr>
              <w:t>10</w:t>
            </w:r>
            <w:r>
              <w:rPr>
                <w:rStyle w:val="10"/>
                <w:rFonts w:hAnsi="宋体"/>
                <w:bdr w:val="none" w:color="auto" w:sz="0" w:space="0"/>
                <w:lang w:val="en-US" w:eastAsia="zh-CN" w:bidi="ar"/>
              </w:rPr>
              <w:t>分，其它得</w:t>
            </w:r>
            <w:r>
              <w:rPr>
                <w:rStyle w:val="11"/>
                <w:rFonts w:hAnsi="宋体"/>
                <w:bdr w:val="none" w:color="auto" w:sz="0" w:space="0"/>
                <w:lang w:val="en-US" w:eastAsia="zh-CN" w:bidi="ar"/>
              </w:rPr>
              <w:t>5</w:t>
            </w:r>
            <w:r>
              <w:rPr>
                <w:rStyle w:val="10"/>
                <w:rFonts w:hAnsi="宋体"/>
                <w:bdr w:val="none" w:color="auto" w:sz="0" w:space="0"/>
                <w:lang w:val="en-US" w:eastAsia="zh-CN" w:bidi="ar"/>
              </w:rPr>
              <w:t xml:space="preserve">分； </w:t>
            </w:r>
            <w:r>
              <w:rPr>
                <w:rStyle w:val="10"/>
                <w:rFonts w:hAnsi="宋体"/>
                <w:bdr w:val="none" w:color="auto" w:sz="0" w:space="0"/>
                <w:lang w:val="en-US" w:eastAsia="zh-CN" w:bidi="ar"/>
              </w:rPr>
              <w:br w:type="textWrapping"/>
            </w:r>
            <w:r>
              <w:rPr>
                <w:rStyle w:val="10"/>
                <w:rFonts w:hAnsi="宋体"/>
                <w:bdr w:val="none" w:color="auto" w:sz="0" w:space="0"/>
                <w:lang w:val="en-US" w:eastAsia="zh-CN" w:bidi="ar"/>
              </w:rPr>
              <w:t xml:space="preserve">5、技术方案中具有咨询服务及合理化建议内容得5分，其它得2分。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8" w:hRule="atLeast"/>
        </w:trPr>
        <w:tc>
          <w:tcPr>
            <w:tcW w:w="933"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default"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default" w:ascii="仿宋_GB2312" w:hAnsi="宋体" w:eastAsia="仿宋_GB2312" w:cs="仿宋_GB2312"/>
                <w:i w:val="0"/>
                <w:iCs w:val="0"/>
                <w:color w:val="000000"/>
                <w:sz w:val="24"/>
                <w:szCs w:val="24"/>
                <w:u w:val="none"/>
              </w:rPr>
            </w:pPr>
          </w:p>
        </w:tc>
        <w:tc>
          <w:tcPr>
            <w:tcW w:w="2409"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left"/>
              <w:rPr>
                <w:rFonts w:hint="default" w:ascii="仿宋_GB2312" w:hAnsi="宋体" w:eastAsia="仿宋_GB2312" w:cs="仿宋_GB2312"/>
                <w:i w:val="0"/>
                <w:iCs w:val="0"/>
                <w:color w:val="000000"/>
                <w:sz w:val="24"/>
                <w:szCs w:val="24"/>
                <w:u w:val="none"/>
              </w:rPr>
            </w:pPr>
          </w:p>
        </w:tc>
        <w:tc>
          <w:tcPr>
            <w:tcW w:w="529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left"/>
              <w:rPr>
                <w:rFonts w:hint="default"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9" w:hRule="atLeast"/>
        </w:trPr>
        <w:tc>
          <w:tcPr>
            <w:tcW w:w="933"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default"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default" w:ascii="仿宋_GB2312" w:hAnsi="宋体" w:eastAsia="仿宋_GB2312" w:cs="仿宋_GB2312"/>
                <w:i w:val="0"/>
                <w:iCs w:val="0"/>
                <w:color w:val="000000"/>
                <w:sz w:val="24"/>
                <w:szCs w:val="24"/>
                <w:u w:val="none"/>
              </w:rPr>
            </w:pPr>
          </w:p>
        </w:tc>
        <w:tc>
          <w:tcPr>
            <w:tcW w:w="2409"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left"/>
              <w:rPr>
                <w:rFonts w:hint="default" w:ascii="仿宋_GB2312" w:hAnsi="宋体" w:eastAsia="仿宋_GB2312" w:cs="仿宋_GB2312"/>
                <w:i w:val="0"/>
                <w:iCs w:val="0"/>
                <w:color w:val="000000"/>
                <w:sz w:val="24"/>
                <w:szCs w:val="24"/>
                <w:u w:val="none"/>
              </w:rPr>
            </w:pPr>
          </w:p>
        </w:tc>
        <w:tc>
          <w:tcPr>
            <w:tcW w:w="529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left"/>
              <w:rPr>
                <w:rFonts w:hint="default" w:ascii="仿宋_GB2312" w:hAnsi="宋体" w:eastAsia="仿宋_GB2312" w:cs="仿宋_GB2312"/>
                <w:i w:val="0"/>
                <w:iCs w:val="0"/>
                <w:color w:val="000000"/>
                <w:sz w:val="24"/>
                <w:szCs w:val="24"/>
                <w:u w:val="none"/>
              </w:rPr>
            </w:pPr>
          </w:p>
        </w:tc>
      </w:tr>
    </w:tbl>
    <w:p>
      <w:pPr>
        <w:rPr>
          <w:rFonts w:hint="eastAsia" w:ascii="方正仿宋_GB2312" w:hAnsi="方正仿宋_GB2312" w:eastAsia="方正仿宋_GB2312" w:cs="方正仿宋_GB2312"/>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4127BC7-F509-4543-8709-9D89A3C2EBA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04EE9B0F-D37B-4AE5-B73F-499E643E1D0A}"/>
  </w:font>
  <w:font w:name="方正仿宋_GB2312">
    <w:panose1 w:val="02000000000000000000"/>
    <w:charset w:val="86"/>
    <w:family w:val="auto"/>
    <w:pitch w:val="default"/>
    <w:sig w:usb0="A00002BF" w:usb1="184F6CFA" w:usb2="00000012" w:usb3="00000000" w:csb0="00040001" w:csb1="00000000"/>
    <w:embedRegular r:id="rId3" w:fontKey="{B44934F4-5C13-45F6-8889-D71157EC565C}"/>
  </w:font>
  <w:font w:name="仿宋_GB2312">
    <w:altName w:val="仿宋"/>
    <w:panose1 w:val="00000000000000000000"/>
    <w:charset w:val="00"/>
    <w:family w:val="auto"/>
    <w:pitch w:val="default"/>
    <w:sig w:usb0="00000000" w:usb1="00000000" w:usb2="00000000" w:usb3="00000000" w:csb0="00000000" w:csb1="00000000"/>
    <w:embedRegular r:id="rId4" w:fontKey="{793ED5FB-8B87-456F-82A0-71E78E40FC4B}"/>
  </w:font>
  <w:font w:name="仿宋">
    <w:panose1 w:val="02010609060101010101"/>
    <w:charset w:val="86"/>
    <w:family w:val="auto"/>
    <w:pitch w:val="default"/>
    <w:sig w:usb0="800002BF" w:usb1="38CF7CFA" w:usb2="00000016" w:usb3="00000000" w:csb0="00040001" w:csb1="00000000"/>
    <w:embedRegular r:id="rId5" w:fontKey="{2C970887-1ECC-4729-86F9-5707428C073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5E631F9B"/>
    <w:rsid w:val="003A58E3"/>
    <w:rsid w:val="00804E11"/>
    <w:rsid w:val="008D5313"/>
    <w:rsid w:val="00A34D6A"/>
    <w:rsid w:val="00B10EBD"/>
    <w:rsid w:val="00D677C1"/>
    <w:rsid w:val="00E96587"/>
    <w:rsid w:val="00F92AFD"/>
    <w:rsid w:val="00FC38DE"/>
    <w:rsid w:val="020E0FC6"/>
    <w:rsid w:val="023B0C78"/>
    <w:rsid w:val="044A1CD7"/>
    <w:rsid w:val="0906702E"/>
    <w:rsid w:val="0A7E070A"/>
    <w:rsid w:val="0ACA37CF"/>
    <w:rsid w:val="10890B0E"/>
    <w:rsid w:val="1802205D"/>
    <w:rsid w:val="190F10C7"/>
    <w:rsid w:val="194863EA"/>
    <w:rsid w:val="1B6B1610"/>
    <w:rsid w:val="1F8A3AD0"/>
    <w:rsid w:val="20406058"/>
    <w:rsid w:val="22BA225C"/>
    <w:rsid w:val="23F84A7A"/>
    <w:rsid w:val="2D263ECE"/>
    <w:rsid w:val="2DB87693"/>
    <w:rsid w:val="4222004F"/>
    <w:rsid w:val="42D53314"/>
    <w:rsid w:val="48EB00C1"/>
    <w:rsid w:val="55D364EE"/>
    <w:rsid w:val="5B543B22"/>
    <w:rsid w:val="5E631F9B"/>
    <w:rsid w:val="5E690984"/>
    <w:rsid w:val="5ECA309B"/>
    <w:rsid w:val="62B41A41"/>
    <w:rsid w:val="63DC4FE6"/>
    <w:rsid w:val="64AF1FB2"/>
    <w:rsid w:val="681109E6"/>
    <w:rsid w:val="6B206E7F"/>
    <w:rsid w:val="6C8924B5"/>
    <w:rsid w:val="7C56051C"/>
    <w:rsid w:val="7EB748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 w:type="character" w:customStyle="1" w:styleId="9">
    <w:name w:val="font51"/>
    <w:basedOn w:val="6"/>
    <w:uiPriority w:val="0"/>
    <w:rPr>
      <w:rFonts w:hint="default" w:ascii="Times New Roman" w:hAnsi="Times New Roman" w:cs="Times New Roman"/>
      <w:color w:val="000000"/>
      <w:sz w:val="24"/>
      <w:szCs w:val="24"/>
      <w:u w:val="none"/>
    </w:rPr>
  </w:style>
  <w:style w:type="character" w:customStyle="1" w:styleId="10">
    <w:name w:val="font11"/>
    <w:basedOn w:val="6"/>
    <w:uiPriority w:val="0"/>
    <w:rPr>
      <w:rFonts w:hint="default" w:ascii="仿宋_GB2312" w:eastAsia="仿宋_GB2312" w:cs="仿宋_GB2312"/>
      <w:color w:val="000000"/>
      <w:sz w:val="24"/>
      <w:szCs w:val="24"/>
      <w:u w:val="none"/>
    </w:rPr>
  </w:style>
  <w:style w:type="character" w:customStyle="1" w:styleId="11">
    <w:name w:val="font21"/>
    <w:basedOn w:val="6"/>
    <w:uiPriority w:val="0"/>
    <w:rPr>
      <w:rFonts w:hint="default" w:ascii="仿宋_GB2312" w:eastAsia="仿宋_GB2312" w:cs="仿宋_GB2312"/>
      <w:color w:val="000000"/>
      <w:sz w:val="24"/>
      <w:szCs w:val="24"/>
      <w:u w:val="none"/>
    </w:rPr>
  </w:style>
  <w:style w:type="character" w:customStyle="1" w:styleId="12">
    <w:name w:val="font41"/>
    <w:basedOn w:val="6"/>
    <w:uiPriority w:val="0"/>
    <w:rPr>
      <w:rFonts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893</Words>
  <Characters>916</Characters>
  <Lines>8</Lines>
  <Paragraphs>2</Paragraphs>
  <TotalTime>1</TotalTime>
  <ScaleCrop>false</ScaleCrop>
  <LinksUpToDate>false</LinksUpToDate>
  <CharactersWithSpaces>932</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Administrator</cp:lastModifiedBy>
  <cp:lastPrinted>2022-04-27T08:37:00Z</cp:lastPrinted>
  <dcterms:modified xsi:type="dcterms:W3CDTF">2022-06-01T09:21:44Z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D725A47A3109406995DE31A0EE0A223A</vt:lpwstr>
  </property>
</Properties>
</file>