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default" w:cs="方正小标宋简体" w:asciiTheme="minorEastAsia" w:hAnsiTheme="minorEastAsia" w:eastAsiaTheme="minorEastAsia"/>
          <w:b/>
          <w:bCs/>
          <w:sz w:val="32"/>
          <w:szCs w:val="32"/>
          <w:lang w:val="en-US" w:eastAsia="zh-CN"/>
        </w:rPr>
      </w:pPr>
      <w:bookmarkStart w:id="0" w:name="_Hlk82885950"/>
      <w:r>
        <w:rPr>
          <w:rFonts w:hint="eastAsia" w:cs="宋体" w:asciiTheme="minorEastAsia" w:hAnsiTheme="minorEastAsia"/>
          <w:b/>
          <w:bCs/>
          <w:sz w:val="32"/>
          <w:szCs w:val="32"/>
          <w:lang w:val="en-US" w:eastAsia="zh-CN"/>
        </w:rPr>
        <w:t>需求内容-</w:t>
      </w:r>
      <w:r>
        <w:rPr>
          <w:rFonts w:hint="eastAsia" w:cs="宋体" w:asciiTheme="minorEastAsia" w:hAnsiTheme="minorEastAsia"/>
          <w:b/>
          <w:bCs/>
          <w:sz w:val="32"/>
          <w:szCs w:val="32"/>
        </w:rPr>
        <w:t>蔡塘</w:t>
      </w:r>
      <w:r>
        <w:rPr>
          <w:rFonts w:hint="eastAsia" w:cs="宋体" w:asciiTheme="minorEastAsia" w:hAnsiTheme="minorEastAsia"/>
          <w:b/>
          <w:bCs/>
          <w:sz w:val="32"/>
          <w:szCs w:val="32"/>
          <w:lang w:eastAsia="zh-CN"/>
        </w:rPr>
        <w:t>总</w:t>
      </w:r>
      <w:r>
        <w:rPr>
          <w:rFonts w:hint="eastAsia" w:cs="宋体" w:asciiTheme="minorEastAsia" w:hAnsiTheme="minorEastAsia"/>
          <w:b/>
          <w:bCs/>
          <w:sz w:val="32"/>
          <w:szCs w:val="32"/>
        </w:rPr>
        <w:t>院</w:t>
      </w:r>
      <w:bookmarkEnd w:id="0"/>
      <w:r>
        <w:rPr>
          <w:rFonts w:hint="eastAsia" w:cs="宋体" w:asciiTheme="minorEastAsia" w:hAnsiTheme="minorEastAsia"/>
          <w:b/>
          <w:bCs/>
          <w:sz w:val="32"/>
          <w:szCs w:val="32"/>
          <w:lang w:eastAsia="zh-CN"/>
        </w:rPr>
        <w:t>人行通道闸</w:t>
      </w:r>
    </w:p>
    <w:p>
      <w:pPr>
        <w:pStyle w:val="2"/>
      </w:pPr>
      <w:r>
        <w:rPr>
          <w:rFonts w:hint="eastAsia"/>
        </w:rPr>
        <w:t>一、项目说明</w:t>
      </w:r>
    </w:p>
    <w:p>
      <w:pPr>
        <w:spacing w:line="360" w:lineRule="auto"/>
        <w:ind w:firstLine="480" w:firstLineChars="200"/>
        <w:rPr>
          <w:rFonts w:hint="eastAsia" w:cs="方正仿宋_GB2312" w:asciiTheme="minorEastAsia" w:hAnsiTheme="minorEastAsia"/>
          <w:sz w:val="24"/>
        </w:rPr>
      </w:pPr>
      <w:r>
        <w:rPr>
          <w:rFonts w:hint="eastAsia" w:cs="方正仿宋_GB2312" w:asciiTheme="minorEastAsia" w:hAnsiTheme="minorEastAsia"/>
          <w:sz w:val="24"/>
        </w:rPr>
        <w:t>本项目在厦门</w:t>
      </w:r>
      <w:r>
        <w:rPr>
          <w:rFonts w:hint="eastAsia" w:cs="方正仿宋_GB2312" w:asciiTheme="minorEastAsia" w:hAnsiTheme="minorEastAsia"/>
          <w:sz w:val="24"/>
          <w:lang w:eastAsia="zh-CN"/>
        </w:rPr>
        <w:t>医学院附属</w:t>
      </w:r>
      <w:r>
        <w:rPr>
          <w:rFonts w:hint="eastAsia" w:cs="方正仿宋_GB2312" w:asciiTheme="minorEastAsia" w:hAnsiTheme="minorEastAsia"/>
          <w:sz w:val="24"/>
        </w:rPr>
        <w:t>口腔医院蔡塘院区的人行出入口新增人行通道闸对进出人员的体温、</w:t>
      </w:r>
      <w:r>
        <w:rPr>
          <w:rFonts w:hint="eastAsia" w:cs="方正仿宋_GB2312" w:asciiTheme="minorEastAsia" w:hAnsiTheme="minorEastAsia"/>
          <w:sz w:val="24"/>
          <w:lang w:val="en-US" w:eastAsia="zh-CN"/>
        </w:rPr>
        <w:t>人脸信息，闽政通二维码，</w:t>
      </w:r>
      <w:r>
        <w:rPr>
          <w:rFonts w:hint="eastAsia" w:cs="方正仿宋_GB2312" w:asciiTheme="minorEastAsia" w:hAnsiTheme="minorEastAsia"/>
          <w:sz w:val="24"/>
        </w:rPr>
        <w:t>身份</w:t>
      </w:r>
      <w:r>
        <w:rPr>
          <w:rFonts w:hint="eastAsia" w:cs="方正仿宋_GB2312" w:asciiTheme="minorEastAsia" w:hAnsiTheme="minorEastAsia"/>
          <w:sz w:val="24"/>
          <w:lang w:val="en-US" w:eastAsia="zh-CN"/>
        </w:rPr>
        <w:t>证等</w:t>
      </w:r>
      <w:r>
        <w:rPr>
          <w:rFonts w:hint="eastAsia" w:cs="方正仿宋_GB2312" w:asciiTheme="minorEastAsia" w:hAnsiTheme="minorEastAsia"/>
          <w:sz w:val="24"/>
        </w:rPr>
        <w:t>进行检查认定，构建完善的</w:t>
      </w:r>
      <w:r>
        <w:rPr>
          <w:rFonts w:hint="eastAsia" w:cs="方正仿宋_GB2312" w:asciiTheme="minorEastAsia" w:hAnsiTheme="minorEastAsia"/>
          <w:sz w:val="24"/>
          <w:lang w:val="en-US" w:eastAsia="zh-CN"/>
        </w:rPr>
        <w:t>出入口</w:t>
      </w:r>
      <w:r>
        <w:rPr>
          <w:rFonts w:hint="eastAsia" w:cs="方正仿宋_GB2312" w:asciiTheme="minorEastAsia" w:hAnsiTheme="minorEastAsia"/>
          <w:sz w:val="24"/>
        </w:rPr>
        <w:t>安全防线，满足医院安全管理及疫情防控检验的需求，提高人员安全及通行管理效率。</w:t>
      </w:r>
    </w:p>
    <w:p>
      <w:pPr>
        <w:spacing w:line="360" w:lineRule="auto"/>
        <w:ind w:firstLine="420" w:firstLineChars="200"/>
        <w:rPr>
          <w:rFonts w:hint="eastAsia" w:cs="方正仿宋_GB2312" w:asciiTheme="minorEastAsia" w:hAnsiTheme="minorEastAsia"/>
          <w:sz w:val="24"/>
          <w:lang w:eastAsia="zh-CN"/>
        </w:rPr>
      </w:pPr>
      <w:r>
        <w:rPr>
          <w:rFonts w:hint="eastAsia"/>
        </w:rPr>
        <w:t>▲</w:t>
      </w:r>
      <w:r>
        <w:rPr>
          <w:rFonts w:hint="eastAsia" w:cs="方正仿宋_GB2312" w:asciiTheme="minorEastAsia" w:hAnsiTheme="minorEastAsia"/>
          <w:sz w:val="24"/>
          <w:lang w:eastAsia="zh-CN"/>
        </w:rPr>
        <w:t>出入口闸机需无缝接入健康码</w:t>
      </w:r>
      <w:r>
        <w:rPr>
          <w:rFonts w:hint="eastAsia" w:cs="方正仿宋_GB2312" w:asciiTheme="minorEastAsia" w:hAnsiTheme="minorEastAsia"/>
          <w:sz w:val="24"/>
          <w:lang w:val="en-US" w:eastAsia="zh-CN"/>
        </w:rPr>
        <w:t>(福建码)</w:t>
      </w:r>
      <w:r>
        <w:rPr>
          <w:rFonts w:hint="eastAsia" w:cs="方正仿宋_GB2312" w:asciiTheme="minorEastAsia" w:hAnsiTheme="minorEastAsia"/>
          <w:sz w:val="24"/>
          <w:lang w:eastAsia="zh-CN"/>
        </w:rPr>
        <w:t>，院方配合申请接口权限，院内医护人员</w:t>
      </w:r>
      <w:r>
        <w:rPr>
          <w:rFonts w:hint="eastAsia" w:cs="方正仿宋_GB2312" w:asciiTheme="minorEastAsia" w:hAnsiTheme="minorEastAsia"/>
          <w:sz w:val="24"/>
        </w:rPr>
        <w:t>在扫码后信息传送至闽政通由闽政通反馈是否为绿码，鉴别是否通过，通过则放行。若为黄码或红码，则反馈信息至院方，鉴别是否通过</w:t>
      </w:r>
      <w:r>
        <w:rPr>
          <w:rFonts w:hint="eastAsia" w:cs="方正仿宋_GB2312" w:asciiTheme="minorEastAsia" w:hAnsiTheme="minorEastAsia"/>
          <w:sz w:val="24"/>
          <w:lang w:eastAsia="zh-CN"/>
        </w:rPr>
        <w:t>，</w:t>
      </w:r>
      <w:r>
        <w:rPr>
          <w:rFonts w:hint="eastAsia" w:cs="方正仿宋_GB2312" w:asciiTheme="minorEastAsia" w:hAnsiTheme="minorEastAsia"/>
          <w:b/>
          <w:bCs/>
          <w:sz w:val="24"/>
          <w:lang w:eastAsia="zh-CN"/>
        </w:rPr>
        <w:t>需提供实际对接案例证明</w:t>
      </w:r>
      <w:r>
        <w:rPr>
          <w:rFonts w:hint="eastAsia" w:cs="方正仿宋_GB2312" w:asciiTheme="minorEastAsia" w:hAnsiTheme="minorEastAsia"/>
          <w:sz w:val="24"/>
          <w:lang w:eastAsia="zh-CN"/>
        </w:rPr>
        <w:t>。</w:t>
      </w:r>
    </w:p>
    <w:p>
      <w:pPr>
        <w:spacing w:line="360" w:lineRule="auto"/>
        <w:ind w:firstLine="420" w:firstLineChars="200"/>
        <w:rPr>
          <w:rFonts w:hint="eastAsia" w:cs="方正仿宋_GB2312" w:asciiTheme="minorEastAsia" w:hAnsiTheme="minorEastAsia"/>
          <w:sz w:val="24"/>
          <w:lang w:val="en-US" w:eastAsia="zh-CN"/>
        </w:rPr>
      </w:pPr>
      <w:r>
        <w:rPr>
          <w:rFonts w:hint="eastAsia"/>
        </w:rPr>
        <w:t>▲</w:t>
      </w:r>
      <w:r>
        <w:rPr>
          <w:rFonts w:hint="eastAsia" w:cs="方正仿宋_GB2312" w:asciiTheme="minorEastAsia" w:hAnsiTheme="minorEastAsia"/>
          <w:sz w:val="24"/>
          <w:lang w:eastAsia="zh-CN"/>
        </w:rPr>
        <w:t>为保证供应商所选用设备的稳定性及安全性，要求设备整机（带负荷）平均无故障运行</w:t>
      </w:r>
      <w:r>
        <w:rPr>
          <w:rFonts w:hint="eastAsia" w:cs="方正仿宋_GB2312" w:asciiTheme="minorEastAsia" w:hAnsiTheme="minorEastAsia"/>
          <w:sz w:val="24"/>
          <w:lang w:val="en-US" w:eastAsia="zh-CN"/>
        </w:rPr>
        <w:t>1500万次，</w:t>
      </w:r>
      <w:r>
        <w:rPr>
          <w:rFonts w:hint="eastAsia"/>
          <w:sz w:val="24"/>
        </w:rPr>
        <w:t>红外对射电眼不少于64对/每通道</w:t>
      </w:r>
      <w:r>
        <w:rPr>
          <w:rFonts w:hint="eastAsia" w:cs="方正仿宋_GB2312" w:asciiTheme="minorEastAsia" w:hAnsiTheme="minorEastAsia"/>
          <w:sz w:val="24"/>
          <w:lang w:val="en-US" w:eastAsia="zh-CN"/>
        </w:rPr>
        <w:t>；需</w:t>
      </w:r>
      <w:r>
        <w:rPr>
          <w:rFonts w:hint="eastAsia" w:cs="方正仿宋_GB2312" w:asciiTheme="minorEastAsia" w:hAnsiTheme="minorEastAsia"/>
          <w:sz w:val="24"/>
          <w:lang w:eastAsia="zh-CN"/>
        </w:rPr>
        <w:t>提供第三方权威检测机构出具的</w:t>
      </w:r>
      <w:r>
        <w:rPr>
          <w:rFonts w:hint="eastAsia" w:cs="方正仿宋_GB2312" w:asciiTheme="minorEastAsia" w:hAnsiTheme="minorEastAsia"/>
          <w:sz w:val="24"/>
          <w:lang w:val="en-US" w:eastAsia="zh-CN"/>
        </w:rPr>
        <w:t>的检测报告，原件备查。</w:t>
      </w:r>
    </w:p>
    <w:p>
      <w:pPr>
        <w:spacing w:line="360" w:lineRule="auto"/>
        <w:ind w:firstLine="480" w:firstLineChars="200"/>
        <w:rPr>
          <w:rFonts w:hint="eastAsia" w:cs="方正仿宋_GB2312" w:asciiTheme="minorEastAsia" w:hAnsiTheme="minorEastAsia"/>
          <w:sz w:val="24"/>
          <w:lang w:val="en-US" w:eastAsia="zh-CN"/>
        </w:rPr>
      </w:pPr>
      <w:r>
        <w:rPr>
          <w:rFonts w:hint="eastAsia" w:cs="方正仿宋_GB2312" w:asciiTheme="minorEastAsia" w:hAnsiTheme="minorEastAsia"/>
          <w:sz w:val="24"/>
          <w:lang w:val="en-US" w:eastAsia="zh-CN"/>
        </w:rPr>
        <w:t>投标人需承诺人行通道闸系统可配合接入医院统一集成平台。</w:t>
      </w:r>
    </w:p>
    <w:p>
      <w:pPr>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转动力矩恒定且小于10NM，确保冲击力不会对人造成伤害，锁定力矩不小于150NM，受外力冲击时确保门翼处于锁定状态;运动过程中，设备连续受力矩2000NM冲击不小于50次，闸板及机芯等核心部件无损坏。投标人需提供第三方检测机构出具的有效检测报告复印件并加盖投标人公章。</w:t>
      </w:r>
    </w:p>
    <w:p>
      <w:pPr>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设备在接收人工操作或出入口控制系统允许通行／禁止通行的输入信号后，应进入允许通行状态／禁止通行状态；设备在禁止通行状态下，接收到允许通行信号，转换至允许通行状态后，在以下情况下应自动返回到禁止通行状态：在允许通行时间内，检测到人员已按指定方向通过通道时；超出允许通行时间，检测到通道内无人员通行时。设备应能设置为持续处于允许通行状态／禁止通行状态。投标人需提供第三方检测机构出具的有效检测报告复印件并加盖投标人公章。</w:t>
      </w:r>
    </w:p>
    <w:p>
      <w:pPr>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▲为方便维护，设备的开启时间宜小于2S，设备的关闭时间宜小于2S，宜可调；设备允许进入时间，进入时间在2S至60S宜可调</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具备防尾随警示功能，前后人员间隔距离在同向通行且间距不小于100mm时，系统会警告提示。投标人需提供第三方检测机构出具的有效检测报告复印件并加盖投标人公章。</w:t>
      </w:r>
    </w:p>
    <w:p>
      <w:pPr>
        <w:spacing w:line="360" w:lineRule="auto"/>
        <w:ind w:firstLine="480" w:firstLineChars="200"/>
        <w:rPr>
          <w:rFonts w:hint="eastAsia"/>
          <w:sz w:val="24"/>
          <w:lang w:val="en-US" w:eastAsia="zh-CN"/>
        </w:rPr>
      </w:pPr>
      <w:r>
        <w:rPr>
          <w:rFonts w:hint="eastAsia"/>
          <w:sz w:val="24"/>
          <w:lang w:val="en-US" w:eastAsia="zh-CN"/>
        </w:rPr>
        <w:t>带“▲”标志的为择优指标，欢迎符合条件的供应商参加投标，未满足以上所有要求的视为无效投标。</w:t>
      </w:r>
    </w:p>
    <w:p>
      <w:pPr>
        <w:pStyle w:val="2"/>
        <w:rPr>
          <w:rFonts w:hint="eastAsia" w:ascii="微软雅黑" w:hAnsi="微软雅黑" w:eastAsia="微软雅黑" w:cs="微软雅黑"/>
          <w:b/>
          <w:bCs/>
          <w:i w:val="0"/>
          <w:iCs w:val="0"/>
          <w:color w:val="000000"/>
          <w:kern w:val="0"/>
          <w:sz w:val="21"/>
          <w:szCs w:val="21"/>
          <w:u w:val="none"/>
          <w:lang w:val="en-US" w:eastAsia="zh-CN" w:bidi="ar"/>
        </w:rPr>
      </w:pPr>
      <w:r>
        <w:rPr>
          <w:rFonts w:hint="eastAsia"/>
        </w:rPr>
        <w:t>二、配置清单</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81"/>
        <w:gridCol w:w="2453"/>
        <w:gridCol w:w="2092"/>
        <w:gridCol w:w="1564"/>
        <w:gridCol w:w="1568"/>
        <w:gridCol w:w="222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A、人脸识别测温通道系统（含闽政通二维码检测通行）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序号</w:t>
            </w:r>
          </w:p>
        </w:tc>
        <w:tc>
          <w:tcPr>
            <w:tcW w:w="11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名称</w:t>
            </w:r>
          </w:p>
        </w:tc>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型号</w:t>
            </w: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数量</w:t>
            </w: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单位</w:t>
            </w:r>
          </w:p>
        </w:tc>
        <w:tc>
          <w:tcPr>
            <w:tcW w:w="10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1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单机芯摆闸</w:t>
            </w:r>
          </w:p>
        </w:tc>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104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1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双机芯摆闸</w:t>
            </w:r>
          </w:p>
        </w:tc>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104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1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人脸测温一体机</w:t>
            </w:r>
          </w:p>
        </w:tc>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104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1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不锈钢围挡</w:t>
            </w:r>
          </w:p>
        </w:tc>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10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通道闸外围与墙体闭合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B、通道系统管理中心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1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健康码对接</w:t>
            </w:r>
          </w:p>
        </w:tc>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1040"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1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系统管理软件</w:t>
            </w:r>
          </w:p>
        </w:tc>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1040" w:type="pct"/>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1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8口接入交换机</w:t>
            </w:r>
          </w:p>
        </w:tc>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104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1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服务器电脑</w:t>
            </w:r>
          </w:p>
        </w:tc>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104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11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排插</w:t>
            </w:r>
          </w:p>
        </w:tc>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104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FF0000"/>
                <w:sz w:val="21"/>
                <w:szCs w:val="21"/>
                <w:u w:val="none"/>
              </w:rPr>
            </w:pPr>
            <w:r>
              <w:rPr>
                <w:rFonts w:hint="eastAsia" w:ascii="宋体" w:hAnsi="宋体" w:eastAsia="宋体" w:cs="宋体"/>
                <w:b/>
                <w:bCs/>
                <w:i w:val="0"/>
                <w:iCs w:val="0"/>
                <w:color w:val="000000"/>
                <w:kern w:val="0"/>
                <w:sz w:val="24"/>
                <w:szCs w:val="24"/>
                <w:u w:val="none"/>
                <w:lang w:val="en-US" w:eastAsia="zh-CN" w:bidi="ar"/>
              </w:rPr>
              <w:t>C、安装调试费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1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设备安装</w:t>
            </w:r>
          </w:p>
        </w:tc>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项</w:t>
            </w:r>
          </w:p>
        </w:tc>
        <w:tc>
          <w:tcPr>
            <w:tcW w:w="104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11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土建基础类施工</w:t>
            </w:r>
          </w:p>
        </w:tc>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项</w:t>
            </w:r>
          </w:p>
        </w:tc>
        <w:tc>
          <w:tcPr>
            <w:tcW w:w="104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11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布线布管</w:t>
            </w:r>
          </w:p>
        </w:tc>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项</w:t>
            </w:r>
          </w:p>
        </w:tc>
        <w:tc>
          <w:tcPr>
            <w:tcW w:w="104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11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辅材</w:t>
            </w:r>
          </w:p>
        </w:tc>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项</w:t>
            </w:r>
          </w:p>
        </w:tc>
        <w:tc>
          <w:tcPr>
            <w:tcW w:w="104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11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安装调试</w:t>
            </w:r>
          </w:p>
        </w:tc>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项</w:t>
            </w:r>
          </w:p>
        </w:tc>
        <w:tc>
          <w:tcPr>
            <w:tcW w:w="104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95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项目合计</w:t>
            </w:r>
          </w:p>
        </w:tc>
        <w:tc>
          <w:tcPr>
            <w:tcW w:w="104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FF0000"/>
                <w:sz w:val="21"/>
                <w:szCs w:val="21"/>
                <w:u w:val="none"/>
              </w:rPr>
            </w:pPr>
          </w:p>
        </w:tc>
      </w:tr>
    </w:tbl>
    <w:p>
      <w:pPr>
        <w:pStyle w:val="2"/>
        <w:numPr>
          <w:ilvl w:val="0"/>
          <w:numId w:val="1"/>
        </w:numPr>
        <w:rPr>
          <w:rFonts w:hint="eastAsia"/>
        </w:rPr>
      </w:pPr>
      <w:r>
        <w:rPr>
          <w:rFonts w:hint="eastAsia"/>
        </w:rPr>
        <w:t>技术要求</w:t>
      </w:r>
    </w:p>
    <w:p>
      <w:pPr>
        <w:numPr>
          <w:ilvl w:val="0"/>
          <w:numId w:val="0"/>
        </w:numPr>
      </w:pPr>
    </w:p>
    <w:p>
      <w:pPr>
        <w:pStyle w:val="3"/>
        <w:numPr>
          <w:ilvl w:val="0"/>
          <w:numId w:val="0"/>
        </w:numPr>
        <w:spacing w:line="360" w:lineRule="auto"/>
        <w:ind w:leftChars="0"/>
      </w:pPr>
      <w:r>
        <w:rPr>
          <w:rFonts w:hint="eastAsia"/>
          <w:lang w:val="en-US" w:eastAsia="zh-CN"/>
        </w:rPr>
        <w:t>1、</w:t>
      </w:r>
      <w:r>
        <w:rPr>
          <w:rFonts w:hint="eastAsia"/>
        </w:rPr>
        <w:t>单机芯摆闸</w:t>
      </w:r>
    </w:p>
    <w:p>
      <w:pPr>
        <w:pStyle w:val="7"/>
        <w:numPr>
          <w:numId w:val="0"/>
        </w:numPr>
        <w:spacing w:line="360" w:lineRule="auto"/>
        <w:ind w:left="0" w:leftChars="0" w:firstLine="420" w:firstLineChars="175"/>
        <w:rPr>
          <w:sz w:val="24"/>
        </w:rPr>
      </w:pPr>
      <w:r>
        <w:rPr>
          <w:rFonts w:hint="eastAsia"/>
          <w:sz w:val="24"/>
        </w:rPr>
        <w:t>开关闸速度：0.8-1.5s</w:t>
      </w:r>
      <w:r>
        <w:rPr>
          <w:rFonts w:hint="eastAsia"/>
          <w:sz w:val="24"/>
          <w:lang w:eastAsia="zh-CN"/>
        </w:rPr>
        <w:t>；</w:t>
      </w:r>
      <w:r>
        <w:rPr>
          <w:rFonts w:hint="eastAsia"/>
          <w:sz w:val="24"/>
        </w:rPr>
        <w:t>通行速度：常闭模式20人/分，常开模式30人/分，高峰模式50人/分</w:t>
      </w:r>
    </w:p>
    <w:p>
      <w:pPr>
        <w:pStyle w:val="7"/>
        <w:numPr>
          <w:numId w:val="0"/>
        </w:numPr>
        <w:spacing w:line="360" w:lineRule="auto"/>
        <w:ind w:left="0" w:leftChars="0" w:firstLine="367" w:firstLineChars="175"/>
        <w:rPr>
          <w:sz w:val="24"/>
        </w:rPr>
      </w:pPr>
      <w:r>
        <w:rPr>
          <w:rFonts w:hint="eastAsia"/>
        </w:rPr>
        <w:t>▲</w:t>
      </w:r>
      <w:r>
        <w:rPr>
          <w:rFonts w:hint="eastAsia"/>
          <w:sz w:val="24"/>
        </w:rPr>
        <w:t>平均无故障运行次数：1500万次（需提供第三方权威机构出具的检测报告复印件并加盖投标人公章作为考评依据，原件备查）</w:t>
      </w:r>
    </w:p>
    <w:p>
      <w:pPr>
        <w:pStyle w:val="7"/>
        <w:numPr>
          <w:numId w:val="0"/>
        </w:numPr>
        <w:spacing w:line="360" w:lineRule="auto"/>
        <w:ind w:left="0" w:leftChars="0" w:firstLine="420" w:firstLineChars="175"/>
        <w:rPr>
          <w:sz w:val="24"/>
        </w:rPr>
      </w:pPr>
      <w:r>
        <w:rPr>
          <w:rFonts w:hint="eastAsia"/>
          <w:sz w:val="24"/>
        </w:rPr>
        <w:t>材质：1.5mm厚304不锈钢+钢化玻璃</w:t>
      </w:r>
      <w:r>
        <w:rPr>
          <w:rFonts w:hint="eastAsia"/>
          <w:sz w:val="24"/>
          <w:lang w:eastAsia="zh-CN"/>
        </w:rPr>
        <w:t>；</w:t>
      </w:r>
      <w:r>
        <w:rPr>
          <w:rFonts w:hint="eastAsia"/>
          <w:sz w:val="24"/>
        </w:rPr>
        <w:t>表面雪花砂拉丝</w:t>
      </w:r>
      <w:r>
        <w:rPr>
          <w:rFonts w:hint="eastAsia"/>
          <w:sz w:val="24"/>
          <w:lang w:eastAsia="zh-CN"/>
        </w:rPr>
        <w:t>；</w:t>
      </w:r>
      <w:r>
        <w:rPr>
          <w:rFonts w:hint="eastAsia"/>
          <w:sz w:val="24"/>
        </w:rPr>
        <w:t>闸板材质：（600-900通道）亚克力，（900-1200通道）不锈钢管+亚克力</w:t>
      </w:r>
    </w:p>
    <w:p>
      <w:pPr>
        <w:pStyle w:val="7"/>
        <w:numPr>
          <w:numId w:val="0"/>
        </w:numPr>
        <w:spacing w:line="360" w:lineRule="auto"/>
        <w:ind w:left="0" w:leftChars="0" w:firstLine="367" w:firstLineChars="175"/>
        <w:rPr>
          <w:sz w:val="24"/>
        </w:rPr>
      </w:pPr>
      <w:r>
        <w:rPr>
          <w:rFonts w:hint="eastAsia"/>
        </w:rPr>
        <w:t>▲</w:t>
      </w:r>
      <w:r>
        <w:rPr>
          <w:rFonts w:hint="eastAsia"/>
          <w:sz w:val="24"/>
          <w:lang w:eastAsia="zh-CN"/>
        </w:rPr>
        <w:t>为确保行人通行安全，</w:t>
      </w:r>
      <w:r>
        <w:rPr>
          <w:rFonts w:hint="eastAsia"/>
          <w:sz w:val="24"/>
        </w:rPr>
        <w:t>红外对射电眼不少于64对/每通道；（需提供第三方权威机构出具的检测报告复印件并加盖投标人公章作为考评依据，原件备查）</w:t>
      </w:r>
      <w:r>
        <w:rPr>
          <w:rFonts w:hint="eastAsia"/>
          <w:sz w:val="24"/>
          <w:lang w:eastAsia="zh-CN"/>
        </w:rPr>
        <w:t>；</w:t>
      </w:r>
    </w:p>
    <w:p>
      <w:pPr>
        <w:pStyle w:val="7"/>
        <w:numPr>
          <w:numId w:val="0"/>
        </w:numPr>
        <w:spacing w:line="360" w:lineRule="auto"/>
        <w:ind w:left="0" w:leftChars="0" w:firstLine="420" w:firstLineChars="175"/>
        <w:rPr>
          <w:sz w:val="24"/>
        </w:rPr>
      </w:pPr>
      <w:r>
        <w:rPr>
          <w:rFonts w:hint="eastAsia"/>
          <w:sz w:val="24"/>
        </w:rPr>
        <w:t>光学感应：光栅检测通道内是否有人，保护区内有人不关闸；机械感应：当闸板关闭过程遇阻，闸板及时停止关闭</w:t>
      </w:r>
    </w:p>
    <w:p>
      <w:pPr>
        <w:pStyle w:val="3"/>
        <w:numPr>
          <w:ilvl w:val="0"/>
          <w:numId w:val="0"/>
        </w:numPr>
        <w:spacing w:line="360" w:lineRule="auto"/>
        <w:ind w:leftChars="0"/>
      </w:pPr>
      <w:r>
        <w:rPr>
          <w:rFonts w:hint="eastAsia"/>
          <w:lang w:val="en-US" w:eastAsia="zh-CN"/>
        </w:rPr>
        <w:t>2、</w:t>
      </w:r>
      <w:r>
        <w:rPr>
          <w:rFonts w:hint="eastAsia"/>
        </w:rPr>
        <w:t>双机芯摆闸</w:t>
      </w:r>
    </w:p>
    <w:p>
      <w:pPr>
        <w:pStyle w:val="7"/>
        <w:numPr>
          <w:numId w:val="0"/>
        </w:numPr>
        <w:spacing w:line="360" w:lineRule="auto"/>
        <w:ind w:left="0" w:leftChars="0" w:firstLine="420" w:firstLineChars="175"/>
        <w:rPr>
          <w:sz w:val="24"/>
        </w:rPr>
      </w:pPr>
      <w:r>
        <w:rPr>
          <w:rFonts w:hint="eastAsia"/>
          <w:sz w:val="24"/>
        </w:rPr>
        <w:t>开关闸速度：0.8-1.5s</w:t>
      </w:r>
      <w:r>
        <w:rPr>
          <w:rFonts w:hint="eastAsia"/>
          <w:sz w:val="24"/>
          <w:lang w:eastAsia="zh-CN"/>
        </w:rPr>
        <w:t>；</w:t>
      </w:r>
      <w:r>
        <w:rPr>
          <w:rFonts w:hint="eastAsia"/>
          <w:sz w:val="24"/>
        </w:rPr>
        <w:t>通行速度：常闭模式20人/分，常开模式30人/分，高峰模式50人/分</w:t>
      </w:r>
    </w:p>
    <w:p>
      <w:pPr>
        <w:pStyle w:val="7"/>
        <w:numPr>
          <w:numId w:val="0"/>
        </w:numPr>
        <w:spacing w:line="360" w:lineRule="auto"/>
        <w:ind w:left="0" w:leftChars="0" w:firstLine="367" w:firstLineChars="175"/>
        <w:rPr>
          <w:sz w:val="24"/>
        </w:rPr>
      </w:pPr>
      <w:r>
        <w:rPr>
          <w:rFonts w:hint="eastAsia"/>
        </w:rPr>
        <w:t>▲</w:t>
      </w:r>
      <w:r>
        <w:rPr>
          <w:rFonts w:hint="eastAsia"/>
          <w:sz w:val="24"/>
        </w:rPr>
        <w:t>平均无故障运行次数：1500万次（需提供第三方权威机构出具的检测报告复印件并加盖投标人公章作为考评依据，原件备查）</w:t>
      </w:r>
    </w:p>
    <w:p>
      <w:pPr>
        <w:pStyle w:val="7"/>
        <w:numPr>
          <w:numId w:val="0"/>
        </w:numPr>
        <w:spacing w:line="360" w:lineRule="auto"/>
        <w:ind w:left="0" w:leftChars="0" w:firstLine="420" w:firstLineChars="175"/>
        <w:rPr>
          <w:sz w:val="24"/>
        </w:rPr>
      </w:pPr>
      <w:r>
        <w:rPr>
          <w:rFonts w:hint="eastAsia"/>
          <w:sz w:val="24"/>
        </w:rPr>
        <w:t>材质：1.5mm厚304不锈钢+钢化玻璃</w:t>
      </w:r>
      <w:r>
        <w:rPr>
          <w:rFonts w:hint="eastAsia"/>
          <w:sz w:val="24"/>
          <w:lang w:eastAsia="zh-CN"/>
        </w:rPr>
        <w:t>；</w:t>
      </w:r>
      <w:r>
        <w:rPr>
          <w:rFonts w:hint="eastAsia"/>
          <w:sz w:val="24"/>
        </w:rPr>
        <w:t>表面雪花砂拉丝</w:t>
      </w:r>
      <w:r>
        <w:rPr>
          <w:rFonts w:hint="eastAsia"/>
          <w:sz w:val="24"/>
          <w:lang w:eastAsia="zh-CN"/>
        </w:rPr>
        <w:t>；</w:t>
      </w:r>
      <w:r>
        <w:rPr>
          <w:rFonts w:hint="eastAsia"/>
          <w:sz w:val="24"/>
        </w:rPr>
        <w:t>闸板材质：（600-900通道）亚克力，（900-1200通道）不锈钢管+亚克力</w:t>
      </w:r>
    </w:p>
    <w:p>
      <w:pPr>
        <w:pStyle w:val="7"/>
        <w:numPr>
          <w:numId w:val="0"/>
        </w:numPr>
        <w:spacing w:line="360" w:lineRule="auto"/>
        <w:ind w:left="0" w:leftChars="0" w:firstLine="367" w:firstLineChars="175"/>
        <w:rPr>
          <w:sz w:val="24"/>
        </w:rPr>
      </w:pPr>
      <w:r>
        <w:rPr>
          <w:rFonts w:hint="eastAsia"/>
        </w:rPr>
        <w:t>▲</w:t>
      </w:r>
      <w:r>
        <w:rPr>
          <w:rFonts w:hint="eastAsia"/>
          <w:sz w:val="24"/>
        </w:rPr>
        <w:t>红外对射电眼不少于64对/每通道；（需提供第三方权威机构出具的检测报告复印件并加盖投标人公章作为考评依据，原件备查）</w:t>
      </w:r>
    </w:p>
    <w:p>
      <w:pPr>
        <w:pStyle w:val="3"/>
        <w:numPr>
          <w:ilvl w:val="0"/>
          <w:numId w:val="0"/>
        </w:numPr>
        <w:spacing w:line="360" w:lineRule="auto"/>
        <w:ind w:leftChars="0"/>
      </w:pPr>
      <w:r>
        <w:rPr>
          <w:rFonts w:hint="eastAsia"/>
          <w:lang w:val="en-US" w:eastAsia="zh-CN"/>
        </w:rPr>
        <w:t>3、</w:t>
      </w:r>
      <w:r>
        <w:rPr>
          <w:rFonts w:hint="eastAsia"/>
        </w:rPr>
        <w:t>人脸测温一体机</w:t>
      </w:r>
    </w:p>
    <w:p>
      <w:pPr>
        <w:pStyle w:val="7"/>
        <w:numPr>
          <w:numId w:val="0"/>
        </w:numPr>
        <w:spacing w:line="360" w:lineRule="auto"/>
        <w:ind w:left="0" w:leftChars="0" w:firstLine="420" w:firstLineChars="175"/>
        <w:rPr>
          <w:sz w:val="24"/>
        </w:rPr>
      </w:pPr>
      <w:r>
        <w:rPr>
          <w:rFonts w:hint="eastAsia"/>
          <w:sz w:val="24"/>
        </w:rPr>
        <w:t>摄像头</w:t>
      </w:r>
      <w:r>
        <w:rPr>
          <w:rFonts w:hint="eastAsia"/>
          <w:sz w:val="24"/>
          <w:lang w:eastAsia="zh-CN"/>
        </w:rPr>
        <w:t>：</w:t>
      </w:r>
      <w:r>
        <w:rPr>
          <w:rFonts w:hint="eastAsia"/>
          <w:sz w:val="24"/>
        </w:rPr>
        <w:t>彩色摄像头，200W星光级，6mm镜头;红外摄像头，200W星光级，6mm镜头;8寸显示屏:1280*800分辨率 16:10屏幕比例  工业级电容触摸屏</w:t>
      </w:r>
      <w:r>
        <w:rPr>
          <w:rFonts w:hint="eastAsia"/>
          <w:sz w:val="24"/>
          <w:lang w:val="en-US" w:eastAsia="zh-CN"/>
        </w:rPr>
        <w:t xml:space="preserve"> </w:t>
      </w:r>
      <w:r>
        <w:rPr>
          <w:rFonts w:hint="eastAsia"/>
          <w:sz w:val="24"/>
        </w:rPr>
        <w:t>1:N 响应时间≤1s</w:t>
      </w:r>
      <w:r>
        <w:rPr>
          <w:rFonts w:hint="eastAsia"/>
          <w:sz w:val="24"/>
          <w:lang w:eastAsia="zh-CN"/>
        </w:rPr>
        <w:t>；</w:t>
      </w:r>
      <w:r>
        <w:rPr>
          <w:rFonts w:hint="eastAsia"/>
          <w:sz w:val="24"/>
        </w:rPr>
        <w:t>准确率99%</w:t>
      </w:r>
    </w:p>
    <w:p>
      <w:pPr>
        <w:pStyle w:val="7"/>
        <w:numPr>
          <w:numId w:val="0"/>
        </w:numPr>
        <w:spacing w:line="360" w:lineRule="auto"/>
        <w:ind w:left="0" w:leftChars="0" w:firstLine="367" w:firstLineChars="175"/>
        <w:rPr>
          <w:sz w:val="24"/>
        </w:rPr>
      </w:pPr>
      <w:r>
        <w:rPr>
          <w:rFonts w:hint="eastAsia"/>
        </w:rPr>
        <w:t>▲</w:t>
      </w:r>
      <w:r>
        <w:rPr>
          <w:rFonts w:hint="eastAsia"/>
          <w:sz w:val="24"/>
        </w:rPr>
        <w:t>鉴权方式</w:t>
      </w:r>
      <w:r>
        <w:rPr>
          <w:rFonts w:hint="eastAsia"/>
          <w:sz w:val="24"/>
          <w:lang w:eastAsia="zh-CN"/>
        </w:rPr>
        <w:t>：</w:t>
      </w:r>
      <w:r>
        <w:rPr>
          <w:rFonts w:hint="eastAsia"/>
          <w:sz w:val="24"/>
        </w:rPr>
        <w:t>二维码、人脸、密码、IC卡、CPU卡、蓝牙、APP远程（需提供第三方权威机构出具的检测报告复印件并加盖投标人公章作为考评依据，原件备查）</w:t>
      </w:r>
    </w:p>
    <w:p>
      <w:pPr>
        <w:pStyle w:val="7"/>
        <w:numPr>
          <w:numId w:val="0"/>
        </w:numPr>
        <w:spacing w:line="360" w:lineRule="auto"/>
        <w:ind w:left="0" w:leftChars="0" w:firstLine="420" w:firstLineChars="175"/>
        <w:rPr>
          <w:sz w:val="24"/>
        </w:rPr>
      </w:pPr>
      <w:r>
        <w:rPr>
          <w:rFonts w:hint="eastAsia"/>
          <w:sz w:val="24"/>
        </w:rPr>
        <w:t>人脸注册方式</w:t>
      </w:r>
      <w:r>
        <w:rPr>
          <w:rFonts w:hint="eastAsia"/>
          <w:sz w:val="24"/>
          <w:lang w:eastAsia="zh-CN"/>
        </w:rPr>
        <w:t>：</w:t>
      </w:r>
      <w:r>
        <w:rPr>
          <w:rFonts w:hint="eastAsia"/>
          <w:sz w:val="24"/>
        </w:rPr>
        <w:t>现场抓拍注册</w:t>
      </w:r>
      <w:r>
        <w:rPr>
          <w:rFonts w:hint="eastAsia"/>
          <w:sz w:val="24"/>
          <w:lang w:eastAsia="zh-CN"/>
        </w:rPr>
        <w:t>；</w:t>
      </w:r>
      <w:r>
        <w:rPr>
          <w:rFonts w:hint="eastAsia"/>
          <w:sz w:val="24"/>
        </w:rPr>
        <w:t>照片批量注册</w:t>
      </w:r>
      <w:r>
        <w:rPr>
          <w:rFonts w:hint="eastAsia"/>
          <w:sz w:val="24"/>
          <w:lang w:eastAsia="zh-CN"/>
        </w:rPr>
        <w:t>；</w:t>
      </w:r>
      <w:r>
        <w:rPr>
          <w:rFonts w:hint="eastAsia"/>
          <w:sz w:val="24"/>
        </w:rPr>
        <w:t>测温模式：红外热成像测温</w:t>
      </w:r>
      <w:r>
        <w:rPr>
          <w:rFonts w:hint="eastAsia"/>
          <w:sz w:val="24"/>
          <w:lang w:eastAsia="zh-CN"/>
        </w:rPr>
        <w:t>；</w:t>
      </w:r>
      <w:r>
        <w:rPr>
          <w:rFonts w:hint="eastAsia"/>
          <w:sz w:val="24"/>
        </w:rPr>
        <w:t>支持戴口罩识别</w:t>
      </w:r>
    </w:p>
    <w:p>
      <w:pPr>
        <w:pStyle w:val="7"/>
        <w:numPr>
          <w:numId w:val="0"/>
        </w:numPr>
        <w:spacing w:line="360" w:lineRule="auto"/>
        <w:ind w:left="0" w:leftChars="0" w:firstLine="367" w:firstLineChars="175"/>
        <w:rPr>
          <w:sz w:val="24"/>
        </w:rPr>
      </w:pPr>
      <w:r>
        <w:rPr>
          <w:rFonts w:hint="eastAsia"/>
        </w:rPr>
        <w:t>▲</w:t>
      </w:r>
      <w:r>
        <w:rPr>
          <w:rFonts w:hint="eastAsia"/>
          <w:sz w:val="24"/>
          <w:lang w:val="en-US" w:eastAsia="zh-CN"/>
        </w:rPr>
        <w:t>对接闽政通（需提供实际对接案例证明）</w:t>
      </w:r>
    </w:p>
    <w:p>
      <w:pPr>
        <w:pStyle w:val="3"/>
        <w:numPr>
          <w:ilvl w:val="0"/>
          <w:numId w:val="0"/>
        </w:numPr>
        <w:spacing w:line="360" w:lineRule="auto"/>
        <w:ind w:leftChars="0"/>
        <w:rPr>
          <w:rFonts w:hint="eastAsia"/>
          <w:sz w:val="24"/>
        </w:rPr>
      </w:pPr>
      <w:r>
        <w:rPr>
          <w:rFonts w:hint="eastAsia"/>
          <w:lang w:val="en-US" w:eastAsia="zh-CN"/>
        </w:rPr>
        <w:t>4、</w:t>
      </w:r>
      <w:r>
        <w:rPr>
          <w:rFonts w:hint="eastAsia"/>
          <w:sz w:val="24"/>
        </w:rPr>
        <w:t>8口接入交换机：</w:t>
      </w:r>
    </w:p>
    <w:p>
      <w:pPr>
        <w:pStyle w:val="7"/>
        <w:numPr>
          <w:numId w:val="0"/>
        </w:numPr>
        <w:spacing w:line="360" w:lineRule="auto"/>
        <w:ind w:left="0" w:leftChars="0" w:firstLine="420" w:firstLineChars="175"/>
        <w:rPr>
          <w:rFonts w:hint="eastAsia"/>
          <w:sz w:val="24"/>
        </w:rPr>
      </w:pPr>
      <w:r>
        <w:rPr>
          <w:rFonts w:hint="eastAsia"/>
          <w:sz w:val="24"/>
        </w:rPr>
        <w:t>固化10/100/1000M以太网电口≥8个，100/1000M SFP千兆光接口≥2个</w:t>
      </w:r>
    </w:p>
    <w:p>
      <w:pPr>
        <w:pStyle w:val="7"/>
        <w:numPr>
          <w:numId w:val="0"/>
        </w:numPr>
        <w:spacing w:line="360" w:lineRule="auto"/>
        <w:ind w:left="0" w:leftChars="0" w:firstLine="420" w:firstLineChars="175"/>
        <w:rPr>
          <w:rFonts w:hint="eastAsia"/>
          <w:sz w:val="24"/>
        </w:rPr>
      </w:pPr>
      <w:r>
        <w:rPr>
          <w:rFonts w:hint="eastAsia"/>
          <w:sz w:val="24"/>
        </w:rPr>
        <w:t>交换容量≥336Gbps</w:t>
      </w:r>
      <w:r>
        <w:rPr>
          <w:rFonts w:hint="eastAsia"/>
          <w:sz w:val="24"/>
          <w:lang w:eastAsia="zh-CN"/>
        </w:rPr>
        <w:t>；</w:t>
      </w:r>
      <w:r>
        <w:rPr>
          <w:rFonts w:hint="eastAsia"/>
          <w:sz w:val="24"/>
        </w:rPr>
        <w:t>包转发率≥30Mpps</w:t>
      </w:r>
    </w:p>
    <w:p>
      <w:pPr>
        <w:pStyle w:val="7"/>
        <w:numPr>
          <w:numId w:val="0"/>
        </w:numPr>
        <w:spacing w:line="360" w:lineRule="auto"/>
        <w:ind w:left="0" w:leftChars="0" w:firstLine="420" w:firstLineChars="175"/>
        <w:rPr>
          <w:rFonts w:hint="eastAsia"/>
          <w:sz w:val="24"/>
        </w:rPr>
      </w:pPr>
      <w:r>
        <w:rPr>
          <w:rFonts w:hint="eastAsia"/>
          <w:sz w:val="24"/>
        </w:rPr>
        <w:t>工作温度-5°-55°，提供官网截图。</w:t>
      </w:r>
    </w:p>
    <w:p>
      <w:pPr>
        <w:pStyle w:val="7"/>
        <w:numPr>
          <w:numId w:val="0"/>
        </w:numPr>
        <w:spacing w:line="360" w:lineRule="auto"/>
        <w:ind w:left="0" w:leftChars="0" w:firstLine="367" w:firstLineChars="175"/>
        <w:rPr>
          <w:rFonts w:hint="eastAsia"/>
          <w:sz w:val="24"/>
        </w:rPr>
      </w:pPr>
      <w:r>
        <w:rPr>
          <w:rFonts w:hint="eastAsia"/>
        </w:rPr>
        <w:t>▲</w:t>
      </w:r>
      <w:r>
        <w:rPr>
          <w:rFonts w:hint="eastAsia"/>
          <w:sz w:val="24"/>
        </w:rPr>
        <w:t>为保证设备在受到外界机械碰撞时能够正常运行，要求所投交换机IK防护测试级别至少达到IK05，提供具有 CMA或CAL或 CNAS认证章的测试报告复印件证明"</w:t>
      </w:r>
    </w:p>
    <w:p>
      <w:pPr>
        <w:pStyle w:val="2"/>
      </w:pPr>
      <w:r>
        <w:rPr>
          <w:rFonts w:hint="eastAsia"/>
        </w:rPr>
        <w:t>四、售后服务方案</w:t>
      </w:r>
    </w:p>
    <w:p>
      <w:pPr>
        <w:spacing w:line="360" w:lineRule="auto"/>
        <w:ind w:firstLine="480" w:firstLineChars="200"/>
        <w:rPr>
          <w:rFonts w:cs="方正仿宋_GB2312" w:asciiTheme="minorEastAsia" w:hAnsiTheme="minorEastAsia"/>
          <w:sz w:val="24"/>
        </w:rPr>
      </w:pPr>
      <w:r>
        <w:rPr>
          <w:rFonts w:hint="eastAsia" w:cs="方正仿宋_GB2312" w:asciiTheme="minorEastAsia" w:hAnsiTheme="minorEastAsia"/>
          <w:sz w:val="24"/>
        </w:rPr>
        <w:t>（1）供应商应按照本采购项目特点提供长期良好的售后服务，并在响应文件中提供详细具体的售后服务承诺条款及保证，在质保期内售后服务所需费用列入报价。</w:t>
      </w:r>
    </w:p>
    <w:p>
      <w:pPr>
        <w:spacing w:line="360" w:lineRule="auto"/>
        <w:ind w:firstLine="480" w:firstLineChars="200"/>
        <w:rPr>
          <w:rFonts w:cs="方正仿宋_GB2312" w:asciiTheme="minorEastAsia" w:hAnsiTheme="minorEastAsia"/>
          <w:sz w:val="24"/>
        </w:rPr>
      </w:pPr>
      <w:r>
        <w:rPr>
          <w:rFonts w:hint="eastAsia" w:cs="方正仿宋_GB2312" w:asciiTheme="minorEastAsia" w:hAnsiTheme="minorEastAsia"/>
          <w:sz w:val="24"/>
        </w:rPr>
        <w:t>（2）要求供应商必须拥有专业的售后维护服务团队，能够保证本项目正常运行。</w:t>
      </w:r>
    </w:p>
    <w:p>
      <w:pPr>
        <w:spacing w:line="360" w:lineRule="auto"/>
        <w:ind w:firstLine="480" w:firstLineChars="200"/>
        <w:rPr>
          <w:rFonts w:cs="方正仿宋_GB2312" w:asciiTheme="minorEastAsia" w:hAnsiTheme="minorEastAsia"/>
          <w:sz w:val="24"/>
        </w:rPr>
      </w:pPr>
      <w:r>
        <w:rPr>
          <w:rFonts w:hint="eastAsia" w:cs="方正仿宋_GB2312" w:asciiTheme="minorEastAsia" w:hAnsiTheme="minorEastAsia"/>
          <w:sz w:val="24"/>
        </w:rPr>
        <w:t>（3）本次报价的设备质保期为2年，自验收合格之日起计算，期间成交供应商应提供一切维修服务和更换零配件（不再另行收取费用）。</w:t>
      </w:r>
    </w:p>
    <w:p>
      <w:pPr>
        <w:spacing w:line="360" w:lineRule="auto"/>
        <w:ind w:firstLine="480" w:firstLineChars="200"/>
        <w:rPr>
          <w:rFonts w:cs="方正仿宋_GB2312" w:asciiTheme="minorEastAsia" w:hAnsiTheme="minorEastAsia"/>
          <w:sz w:val="24"/>
        </w:rPr>
      </w:pPr>
      <w:r>
        <w:rPr>
          <w:rFonts w:hint="eastAsia" w:cs="方正仿宋_GB2312" w:asciiTheme="minorEastAsia" w:hAnsiTheme="minorEastAsia"/>
          <w:sz w:val="24"/>
        </w:rPr>
        <w:t>（4）在质保期内，成交供应商提供7*24小时服务。对于产品在使用过程中出现的问题，在4小时内响应。如遇与所供产品有关的问题无法远程解决的，在事件确定后48小时内赶到现场提供服务。48小时内未解决的成交供应商应提供详细的应急解决方案。因成交供应商工作延误，造成采购人损失的，成交供</w:t>
      </w:r>
      <w:bookmarkStart w:id="1" w:name="_GoBack"/>
      <w:bookmarkEnd w:id="1"/>
      <w:r>
        <w:rPr>
          <w:rFonts w:hint="eastAsia" w:cs="方正仿宋_GB2312" w:asciiTheme="minorEastAsia" w:hAnsiTheme="minorEastAsia"/>
          <w:sz w:val="24"/>
        </w:rPr>
        <w:t>应商应负赔偿责任。</w:t>
      </w:r>
    </w:p>
    <w:p>
      <w:pPr>
        <w:pStyle w:val="2"/>
      </w:pPr>
      <w:r>
        <w:rPr>
          <w:rFonts w:hint="eastAsia"/>
        </w:rPr>
        <w:t>五、培训要求</w:t>
      </w:r>
    </w:p>
    <w:p>
      <w:pPr>
        <w:spacing w:line="360" w:lineRule="auto"/>
        <w:ind w:firstLine="480" w:firstLineChars="200"/>
        <w:rPr>
          <w:rFonts w:cs="方正仿宋_GB2312" w:asciiTheme="minorEastAsia" w:hAnsiTheme="minorEastAsia"/>
          <w:sz w:val="24"/>
        </w:rPr>
      </w:pPr>
      <w:r>
        <w:rPr>
          <w:rFonts w:hint="eastAsia" w:cs="方正仿宋_GB2312" w:asciiTheme="minorEastAsia" w:hAnsiTheme="minorEastAsia"/>
          <w:sz w:val="24"/>
        </w:rPr>
        <w:t>（1）成交供应商提供现场技术培训，保证使用人员正确操作设备的各种功能，维修人员能进行常规维护、检修与保养。</w:t>
      </w:r>
    </w:p>
    <w:p>
      <w:pPr>
        <w:spacing w:line="360" w:lineRule="auto"/>
        <w:ind w:firstLine="480" w:firstLineChars="200"/>
        <w:rPr>
          <w:rFonts w:cs="方正仿宋_GB2312" w:asciiTheme="minorEastAsia" w:hAnsiTheme="minorEastAsia"/>
          <w:sz w:val="24"/>
        </w:rPr>
      </w:pPr>
      <w:r>
        <w:rPr>
          <w:rFonts w:hint="eastAsia" w:cs="方正仿宋_GB2312" w:asciiTheme="minorEastAsia" w:hAnsiTheme="minorEastAsia"/>
          <w:sz w:val="24"/>
        </w:rPr>
        <w:t>（2）供应商应提供现场人员的培训，包括但不限于操作培训、保养培训和维修培训，并提供书面承诺和培训方案；培训使用单位操作人员直到熟悉为止（所有培训不再另行收取费用）。</w:t>
      </w:r>
    </w:p>
    <w:p>
      <w:pPr>
        <w:pStyle w:val="7"/>
        <w:numPr>
          <w:ilvl w:val="0"/>
          <w:numId w:val="0"/>
        </w:numPr>
        <w:spacing w:line="360" w:lineRule="auto"/>
        <w:ind w:leftChars="0"/>
        <w:rPr>
          <w:rFonts w:hint="eastAsia"/>
          <w:sz w:val="24"/>
        </w:rPr>
      </w:pPr>
    </w:p>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embedRegular r:id="rId1" w:fontKey="{2EE16E11-15DF-49F8-8179-374CA7185D50}"/>
  </w:font>
  <w:font w:name="微软雅黑">
    <w:panose1 w:val="020B0503020204020204"/>
    <w:charset w:val="86"/>
    <w:family w:val="auto"/>
    <w:pitch w:val="default"/>
    <w:sig w:usb0="80000287" w:usb1="280F3C52" w:usb2="00000016" w:usb3="00000000" w:csb0="0004001F" w:csb1="00000000"/>
    <w:embedRegular r:id="rId2" w:fontKey="{AE0467F1-6B0A-4AB6-8D15-B33673BAD7C0}"/>
  </w:font>
  <w:font w:name="Calibri Light">
    <w:panose1 w:val="020F0302020204030204"/>
    <w:charset w:val="00"/>
    <w:family w:val="swiss"/>
    <w:pitch w:val="default"/>
    <w:sig w:usb0="A00002EF" w:usb1="4000207B" w:usb2="00000000" w:usb3="00000000" w:csb0="2000019F" w:csb1="00000000"/>
  </w:font>
  <w:font w:name="方正小标宋简体">
    <w:panose1 w:val="03000509000000000000"/>
    <w:charset w:val="86"/>
    <w:family w:val="auto"/>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embedRegular r:id="rId3" w:fontKey="{9BFE3443-CD08-4D43-80E7-1E8740910071}"/>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070DE5"/>
    <w:multiLevelType w:val="singleLevel"/>
    <w:tmpl w:val="1A070DE5"/>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E13383"/>
    <w:rsid w:val="02B06622"/>
    <w:rsid w:val="04AC5838"/>
    <w:rsid w:val="081128A2"/>
    <w:rsid w:val="13E13383"/>
    <w:rsid w:val="14F41582"/>
    <w:rsid w:val="188534D9"/>
    <w:rsid w:val="1954521F"/>
    <w:rsid w:val="1DE5415D"/>
    <w:rsid w:val="1E715376"/>
    <w:rsid w:val="209D0D1F"/>
    <w:rsid w:val="246F29D3"/>
    <w:rsid w:val="26130A86"/>
    <w:rsid w:val="266609D8"/>
    <w:rsid w:val="2D8079FF"/>
    <w:rsid w:val="2D8B3D0E"/>
    <w:rsid w:val="2ECD6C74"/>
    <w:rsid w:val="30DB6CFA"/>
    <w:rsid w:val="33233306"/>
    <w:rsid w:val="3A194AD6"/>
    <w:rsid w:val="3B8E7B3C"/>
    <w:rsid w:val="425F3C2F"/>
    <w:rsid w:val="44CC6C2E"/>
    <w:rsid w:val="490563FC"/>
    <w:rsid w:val="4CF10E85"/>
    <w:rsid w:val="4F875B4F"/>
    <w:rsid w:val="56CF0F2B"/>
    <w:rsid w:val="58457288"/>
    <w:rsid w:val="5DB569A7"/>
    <w:rsid w:val="64216B3E"/>
    <w:rsid w:val="696574CD"/>
    <w:rsid w:val="6AD954E9"/>
    <w:rsid w:val="6E6F2477"/>
    <w:rsid w:val="718D5813"/>
    <w:rsid w:val="7BCD5C01"/>
    <w:rsid w:val="7F785E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line="360" w:lineRule="auto"/>
      <w:outlineLvl w:val="0"/>
    </w:pPr>
    <w:rPr>
      <w:b/>
      <w:bCs/>
      <w:kern w:val="44"/>
      <w:sz w:val="28"/>
      <w:szCs w:val="44"/>
    </w:rPr>
  </w:style>
  <w:style w:type="paragraph" w:styleId="3">
    <w:name w:val="heading 2"/>
    <w:basedOn w:val="1"/>
    <w:next w:val="1"/>
    <w:unhideWhenUsed/>
    <w:qFormat/>
    <w:uiPriority w:val="0"/>
    <w:pPr>
      <w:keepNext/>
      <w:keepLines/>
      <w:outlineLvl w:val="1"/>
    </w:pPr>
    <w:rPr>
      <w:rFonts w:asciiTheme="majorHAnsi" w:hAnsiTheme="majorHAnsi" w:eastAsiaTheme="majorEastAsia" w:cstheme="majorBidi"/>
      <w:b/>
      <w:bCs/>
      <w:sz w:val="24"/>
      <w:szCs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footer"/>
    <w:basedOn w:val="1"/>
    <w:qFormat/>
    <w:uiPriority w:val="99"/>
    <w:pPr>
      <w:tabs>
        <w:tab w:val="center" w:pos="4153"/>
        <w:tab w:val="right" w:pos="8306"/>
      </w:tabs>
      <w:snapToGrid w:val="0"/>
      <w:jc w:val="left"/>
    </w:pPr>
    <w:rPr>
      <w:sz w:val="18"/>
    </w:rPr>
  </w:style>
  <w:style w:type="paragraph" w:styleId="7">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2319</Words>
  <Characters>2494</Characters>
  <Lines>0</Lines>
  <Paragraphs>0</Paragraphs>
  <TotalTime>15</TotalTime>
  <ScaleCrop>false</ScaleCrop>
  <LinksUpToDate>false</LinksUpToDate>
  <CharactersWithSpaces>2502</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2022-01-06T00:27:00Z</dcterms:created>
  <dc:creator>。</dc:creator>
  <cp:lastModifiedBy>svfly</cp:lastModifiedBy>
  <cp:lastPrinted>2022-01-10T06:42:00Z</cp:lastPrinted>
  <dcterms:modified xsi:type="dcterms:W3CDTF">2022-04-15T08:43:16Z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42CD011927D543B985B12D4F52AB1490</vt:lpwstr>
  </property>
</Properties>
</file>