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职工春秋游服务项目</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项目概况</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为丰富医院职工业余活动，厦门医学院附属口腔医院工会委员会拟组织医院员工在厦门辖区内相关旅游景点春秋游活动，相关内容如下：</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1、提供春秋游活动车辆包车运输服务，车辆要求整洁无异味，具有相关旅游包车营运资质；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2、提供春秋游导活动游随团讲解服务，要求导游人员具有相关旅游服务资格；</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3、提供春秋游相关旅游景点门票代购服务；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4、提供春秋游导活动游购买保险服务，为参加参加旅游人员购买旅游意外险等。</w:t>
      </w:r>
    </w:p>
    <w:p>
      <w:pPr>
        <w:ind w:firstLine="838" w:firstLineChars="262"/>
        <w:rPr>
          <w:rFonts w:hint="eastAsia" w:ascii="方正仿宋_GB2312" w:hAnsi="方正仿宋_GB2312" w:eastAsia="黑体" w:cs="方正仿宋_GB2312"/>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rPr>
        <w:t>、</w:t>
      </w:r>
      <w:r>
        <w:rPr>
          <w:rFonts w:hint="eastAsia" w:ascii="黑体" w:hAnsi="黑体" w:eastAsia="黑体" w:cs="黑体"/>
          <w:sz w:val="32"/>
          <w:szCs w:val="32"/>
          <w:lang w:eastAsia="zh-CN"/>
        </w:rPr>
        <w:t>投标文件内容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1、提供报价及服务清单。</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2、资格性文件</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2.1、公司营业执照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2.2、经营许可证</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2.3、依法缴纳税证明的相关材料</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2.4、依法缴纳依法缴纳社会保障资金的相关材料</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2.4、参加采购活动前3年内在经营活动中没有重大违法记录的书面声明</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3、针对本项目，投标人提供的其他材料</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三</w:t>
      </w:r>
      <w:r>
        <w:rPr>
          <w:rFonts w:hint="eastAsia" w:ascii="黑体" w:hAnsi="黑体" w:eastAsia="黑体" w:cs="黑体"/>
          <w:sz w:val="32"/>
          <w:szCs w:val="32"/>
        </w:rPr>
        <w:t>、</w:t>
      </w:r>
      <w:r>
        <w:rPr>
          <w:rFonts w:hint="eastAsia" w:ascii="黑体" w:hAnsi="黑体" w:eastAsia="黑体" w:cs="黑体"/>
          <w:sz w:val="32"/>
          <w:szCs w:val="32"/>
          <w:lang w:eastAsia="zh-CN"/>
        </w:rPr>
        <w:t>投标人资格要求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1、投标人必须为中华人民共和国具有独立法人资格的企业</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2、本次招标不接受联合体投标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3、投标人应自觉遵守国家法律法规，三年内无利用不正当竞争手段，骗取中标，无重大经济刑事案件</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4、投标人需具有履行合同的能力，包括专业技术资格和能力，资金、设备和其他物质设施，管理能力，经验、信誉和相应的从业人员</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四</w:t>
      </w:r>
      <w:r>
        <w:rPr>
          <w:rFonts w:hint="eastAsia" w:ascii="黑体" w:hAnsi="黑体" w:eastAsia="黑体" w:cs="黑体"/>
          <w:sz w:val="32"/>
          <w:szCs w:val="32"/>
        </w:rPr>
        <w:t>、</w:t>
      </w:r>
      <w:r>
        <w:rPr>
          <w:rFonts w:hint="eastAsia" w:ascii="黑体" w:hAnsi="黑体" w:eastAsia="黑体" w:cs="黑体"/>
          <w:sz w:val="32"/>
          <w:szCs w:val="32"/>
          <w:lang w:eastAsia="zh-CN"/>
        </w:rPr>
        <w:t>采购方式及评标结果说明</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1、评标方法：本次评标采用</w:t>
      </w:r>
      <w:r>
        <w:rPr>
          <w:rFonts w:hint="eastAsia" w:ascii="方正仿宋_GB2312" w:hAnsi="方正仿宋_GB2312" w:eastAsia="方正仿宋_GB2312" w:cs="方正仿宋_GB2312"/>
          <w:sz w:val="32"/>
          <w:szCs w:val="32"/>
          <w:lang w:eastAsia="zh-CN"/>
        </w:rPr>
        <w:t>综合评分</w:t>
      </w:r>
      <w:r>
        <w:rPr>
          <w:rFonts w:hint="eastAsia" w:ascii="方正仿宋_GB2312" w:hAnsi="方正仿宋_GB2312" w:eastAsia="方正仿宋_GB2312" w:cs="方正仿宋_GB2312"/>
          <w:sz w:val="32"/>
          <w:szCs w:val="32"/>
        </w:rPr>
        <w:t>法</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2、评标定标原则：根据《政府采购竞争性磋商采购方式管理暂行办法》及有关规定，坚持公平、公正、科学、择优的原则，反对不正当竞争。</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3、详细评标标准（见附表1）</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4、评标结果确认：磋商小组最终根据综合评分情况，按照评审得分由高到低顺序推荐</w:t>
      </w:r>
      <w:bookmarkStart w:id="0" w:name="_GoBack"/>
      <w:r>
        <w:rPr>
          <w:rFonts w:hint="eastAsia" w:ascii="方正仿宋_GB2312" w:hAnsi="方正仿宋_GB2312" w:eastAsia="方正仿宋_GB2312" w:cs="方正仿宋_GB2312"/>
          <w:b/>
          <w:bCs/>
          <w:sz w:val="32"/>
          <w:szCs w:val="32"/>
          <w:lang w:val="en-US" w:eastAsia="zh-CN"/>
        </w:rPr>
        <w:t>2名最终中标供应商</w:t>
      </w:r>
      <w:bookmarkEnd w:id="0"/>
      <w:r>
        <w:rPr>
          <w:rFonts w:hint="eastAsia" w:ascii="方正仿宋_GB2312" w:hAnsi="方正仿宋_GB2312" w:eastAsia="方正仿宋_GB2312" w:cs="方正仿宋_GB2312"/>
          <w:sz w:val="32"/>
          <w:szCs w:val="32"/>
          <w:lang w:val="en-US" w:eastAsia="zh-CN"/>
        </w:rPr>
        <w:t>。</w:t>
      </w:r>
    </w:p>
    <w:p>
      <w:pPr>
        <w:ind w:firstLine="838" w:firstLineChars="262"/>
        <w:rPr>
          <w:rFonts w:hint="eastAsia" w:ascii="方正仿宋_GB2312" w:hAnsi="方正仿宋_GB2312" w:eastAsia="方正仿宋_GB2312" w:cs="方正仿宋_GB2312"/>
          <w:sz w:val="32"/>
          <w:szCs w:val="32"/>
          <w:lang w:val="en-US" w:eastAsia="zh-CN"/>
        </w:rPr>
      </w:pPr>
    </w:p>
    <w:p>
      <w:pPr>
        <w:ind w:firstLine="838" w:firstLineChars="262"/>
        <w:rPr>
          <w:rFonts w:hint="eastAsia" w:ascii="方正仿宋_GB2312" w:hAnsi="方正仿宋_GB2312" w:eastAsia="方正仿宋_GB2312" w:cs="方正仿宋_GB2312"/>
          <w:sz w:val="32"/>
          <w:szCs w:val="32"/>
          <w:lang w:val="en-US" w:eastAsia="zh-CN"/>
        </w:rPr>
      </w:pPr>
    </w:p>
    <w:p>
      <w:pPr>
        <w:ind w:firstLine="838" w:firstLineChars="262"/>
        <w:rPr>
          <w:rFonts w:hint="eastAsia" w:ascii="方正仿宋_GB2312" w:hAnsi="方正仿宋_GB2312" w:eastAsia="方正仿宋_GB2312" w:cs="方正仿宋_GB2312"/>
          <w:sz w:val="32"/>
          <w:szCs w:val="32"/>
          <w:lang w:val="en-US" w:eastAsia="zh-CN"/>
        </w:rPr>
      </w:pPr>
    </w:p>
    <w:p>
      <w:pPr>
        <w:ind w:firstLine="838" w:firstLineChars="262"/>
        <w:rPr>
          <w:rFonts w:hint="eastAsia" w:ascii="方正仿宋_GB2312" w:hAnsi="方正仿宋_GB2312" w:eastAsia="方正仿宋_GB2312" w:cs="方正仿宋_GB2312"/>
          <w:sz w:val="32"/>
          <w:szCs w:val="32"/>
          <w:lang w:val="en-US" w:eastAsia="zh-CN"/>
        </w:rPr>
      </w:pP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附表1：             </w:t>
      </w:r>
    </w:p>
    <w:tbl>
      <w:tblPr>
        <w:tblStyle w:val="4"/>
        <w:tblpPr w:leftFromText="180" w:rightFromText="180" w:vertAnchor="text" w:horzAnchor="page" w:tblpX="1002" w:tblpY="450"/>
        <w:tblOverlap w:val="never"/>
        <w:tblW w:w="10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750"/>
        <w:gridCol w:w="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blHeader/>
        </w:trPr>
        <w:tc>
          <w:tcPr>
            <w:tcW w:w="710" w:type="dxa"/>
            <w:vAlign w:val="center"/>
          </w:tcPr>
          <w:p>
            <w:pPr>
              <w:tabs>
                <w:tab w:val="left" w:pos="900"/>
                <w:tab w:val="left" w:pos="1080"/>
              </w:tabs>
              <w:spacing w:line="440" w:lineRule="exact"/>
              <w:jc w:val="center"/>
              <w:rPr>
                <w:rFonts w:ascii="宋体" w:hAnsi="宋体" w:cs="Arial"/>
                <w:b/>
                <w:sz w:val="24"/>
              </w:rPr>
            </w:pPr>
            <w:r>
              <w:rPr>
                <w:rFonts w:hint="eastAsia" w:ascii="宋体" w:hAnsi="宋体" w:cs="Arial"/>
                <w:b/>
                <w:sz w:val="24"/>
              </w:rPr>
              <w:t>序号</w:t>
            </w:r>
          </w:p>
        </w:tc>
        <w:tc>
          <w:tcPr>
            <w:tcW w:w="8750" w:type="dxa"/>
            <w:vAlign w:val="center"/>
          </w:tcPr>
          <w:p>
            <w:pPr>
              <w:tabs>
                <w:tab w:val="left" w:pos="900"/>
                <w:tab w:val="left" w:pos="1080"/>
              </w:tabs>
              <w:spacing w:line="440" w:lineRule="exact"/>
              <w:ind w:firstLine="482" w:firstLineChars="200"/>
              <w:jc w:val="center"/>
              <w:rPr>
                <w:rFonts w:ascii="宋体" w:hAnsi="宋体" w:cs="Arial"/>
                <w:b/>
                <w:sz w:val="24"/>
              </w:rPr>
            </w:pPr>
            <w:r>
              <w:rPr>
                <w:rFonts w:hint="eastAsia" w:ascii="宋体" w:hAnsi="宋体" w:cs="Arial"/>
                <w:b/>
                <w:sz w:val="24"/>
              </w:rPr>
              <w:t>评分界定</w:t>
            </w:r>
          </w:p>
        </w:tc>
        <w:tc>
          <w:tcPr>
            <w:tcW w:w="640" w:type="dxa"/>
            <w:vAlign w:val="center"/>
          </w:tcPr>
          <w:p>
            <w:pPr>
              <w:tabs>
                <w:tab w:val="left" w:pos="900"/>
                <w:tab w:val="left" w:pos="1080"/>
              </w:tabs>
              <w:spacing w:line="440" w:lineRule="exact"/>
              <w:jc w:val="center"/>
              <w:rPr>
                <w:rFonts w:ascii="宋体" w:hAnsi="宋体" w:cs="Arial"/>
                <w:b/>
                <w:sz w:val="24"/>
              </w:rPr>
            </w:pPr>
            <w:r>
              <w:rPr>
                <w:rFonts w:hint="eastAsia" w:ascii="宋体" w:hAnsi="宋体" w:cs="Arial"/>
                <w:b/>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0100" w:type="dxa"/>
            <w:gridSpan w:val="3"/>
            <w:vAlign w:val="center"/>
          </w:tcPr>
          <w:p>
            <w:pPr>
              <w:spacing w:line="440" w:lineRule="exact"/>
              <w:jc w:val="center"/>
              <w:rPr>
                <w:rFonts w:ascii="宋体" w:hAnsi="宋体"/>
                <w:bCs/>
                <w:sz w:val="24"/>
                <w:highlight w:val="none"/>
              </w:rPr>
            </w:pPr>
            <w:r>
              <w:rPr>
                <w:rFonts w:hint="eastAsia" w:ascii="宋体" w:hAnsi="宋体"/>
                <w:b/>
                <w:sz w:val="24"/>
                <w:highlight w:val="none"/>
              </w:rPr>
              <w:t>1、技术</w:t>
            </w:r>
            <w:r>
              <w:rPr>
                <w:rFonts w:hint="eastAsia" w:ascii="宋体" w:hAnsi="宋体"/>
                <w:b/>
                <w:sz w:val="24"/>
                <w:highlight w:val="none"/>
                <w:lang w:val="en-US" w:eastAsia="zh-CN"/>
              </w:rPr>
              <w:t>部分</w:t>
            </w:r>
            <w:r>
              <w:rPr>
                <w:rFonts w:hint="eastAsia" w:ascii="宋体" w:hAnsi="宋体"/>
                <w:b/>
                <w:sz w:val="24"/>
                <w:highlight w:val="none"/>
              </w:rPr>
              <w:t>（满分</w:t>
            </w:r>
            <w:r>
              <w:rPr>
                <w:rFonts w:hint="eastAsia" w:ascii="宋体" w:hAnsi="宋体"/>
                <w:b/>
                <w:sz w:val="24"/>
                <w:highlight w:val="none"/>
                <w:lang w:val="en-US" w:eastAsia="zh-CN"/>
              </w:rPr>
              <w:t>50</w:t>
            </w:r>
            <w:r>
              <w:rPr>
                <w:rFonts w:hint="eastAsia" w:ascii="宋体" w:hAnsi="宋体"/>
                <w:b/>
                <w:sz w:val="24"/>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Align w:val="center"/>
          </w:tcPr>
          <w:p>
            <w:pPr>
              <w:spacing w:line="440" w:lineRule="exact"/>
              <w:jc w:val="center"/>
              <w:rPr>
                <w:rFonts w:hint="eastAsia" w:ascii="宋体" w:hAnsi="宋体" w:eastAsia="宋体" w:cs="Arial"/>
                <w:b/>
                <w:bCs/>
                <w:kern w:val="10"/>
                <w:sz w:val="24"/>
                <w:szCs w:val="22"/>
                <w:lang w:val="en-US" w:eastAsia="zh-CN" w:bidi="ar-SA"/>
              </w:rPr>
            </w:pPr>
            <w:r>
              <w:rPr>
                <w:rFonts w:hint="eastAsia" w:ascii="宋体" w:hAnsi="宋体" w:cs="Arial"/>
                <w:kern w:val="10"/>
                <w:sz w:val="24"/>
              </w:rPr>
              <w:t>1-</w:t>
            </w:r>
            <w:r>
              <w:rPr>
                <w:rFonts w:hint="eastAsia" w:ascii="宋体" w:hAnsi="宋体" w:cs="Arial"/>
                <w:kern w:val="10"/>
                <w:sz w:val="24"/>
                <w:lang w:val="en-US" w:eastAsia="zh-CN"/>
              </w:rPr>
              <w:t>1</w:t>
            </w:r>
          </w:p>
        </w:tc>
        <w:tc>
          <w:tcPr>
            <w:tcW w:w="8750" w:type="dxa"/>
            <w:vAlign w:val="center"/>
          </w:tcPr>
          <w:p>
            <w:pPr>
              <w:spacing w:line="440" w:lineRule="exact"/>
              <w:rPr>
                <w:rFonts w:hint="eastAsia" w:ascii="宋体" w:hAnsi="宋体" w:eastAsia="宋体" w:cs="Times New Roman"/>
                <w:kern w:val="2"/>
                <w:sz w:val="24"/>
                <w:szCs w:val="22"/>
                <w:lang w:val="en-US" w:eastAsia="zh-CN" w:bidi="ar-SA"/>
              </w:rPr>
            </w:pPr>
            <w:r>
              <w:rPr>
                <w:rFonts w:ascii="宋体" w:hAnsi="宋体" w:eastAsia="宋体" w:cs="宋体"/>
                <w:kern w:val="0"/>
                <w:sz w:val="24"/>
                <w:szCs w:val="24"/>
                <w:lang w:val="en-US" w:eastAsia="zh-CN" w:bidi="ar"/>
              </w:rPr>
              <w:t>根据响应供应商</w:t>
            </w:r>
            <w:r>
              <w:rPr>
                <w:rFonts w:hint="eastAsia" w:ascii="宋体" w:hAnsi="宋体" w:eastAsia="宋体" w:cs="宋体"/>
                <w:kern w:val="0"/>
                <w:sz w:val="24"/>
                <w:szCs w:val="24"/>
                <w:lang w:val="en-US" w:eastAsia="zh-CN" w:bidi="ar"/>
              </w:rPr>
              <w:t>对于本项目的理解和难点重点分析和解决方案</w:t>
            </w:r>
            <w:r>
              <w:rPr>
                <w:rFonts w:ascii="宋体" w:hAnsi="宋体" w:eastAsia="宋体" w:cs="宋体"/>
                <w:kern w:val="0"/>
                <w:sz w:val="24"/>
                <w:szCs w:val="24"/>
                <w:lang w:val="en-US" w:eastAsia="zh-CN" w:bidi="ar"/>
              </w:rPr>
              <w:t>进行综合评价</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eastAsia="宋体" w:cs="Times New Roman"/>
                <w:kern w:val="2"/>
                <w:sz w:val="24"/>
                <w:szCs w:val="22"/>
                <w:lang w:val="en-US" w:eastAsia="zh-CN" w:bidi="ar-SA"/>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10" w:type="dxa"/>
            <w:vAlign w:val="center"/>
          </w:tcPr>
          <w:p>
            <w:pPr>
              <w:spacing w:line="440" w:lineRule="exact"/>
              <w:jc w:val="center"/>
              <w:rPr>
                <w:rFonts w:hint="eastAsia" w:ascii="宋体" w:hAnsi="宋体" w:eastAsia="宋体" w:cs="Arial"/>
                <w:kern w:val="10"/>
                <w:sz w:val="24"/>
                <w:szCs w:val="22"/>
                <w:lang w:val="en-US" w:eastAsia="zh-CN" w:bidi="ar-SA"/>
              </w:rPr>
            </w:pPr>
            <w:r>
              <w:rPr>
                <w:rFonts w:hint="eastAsia" w:ascii="宋体" w:hAnsi="宋体" w:cs="Arial"/>
                <w:kern w:val="10"/>
                <w:sz w:val="24"/>
              </w:rPr>
              <w:t>1-</w:t>
            </w:r>
            <w:r>
              <w:rPr>
                <w:rFonts w:hint="eastAsia" w:ascii="宋体" w:hAnsi="宋体" w:cs="Arial"/>
                <w:kern w:val="10"/>
                <w:sz w:val="24"/>
                <w:lang w:val="en-US" w:eastAsia="zh-CN"/>
              </w:rPr>
              <w:t>2</w:t>
            </w:r>
          </w:p>
        </w:tc>
        <w:tc>
          <w:tcPr>
            <w:tcW w:w="8750" w:type="dxa"/>
            <w:vAlign w:val="center"/>
          </w:tcPr>
          <w:p>
            <w:pPr>
              <w:spacing w:line="440" w:lineRule="exact"/>
              <w:rPr>
                <w:rFonts w:hint="eastAsia" w:ascii="宋体" w:hAnsi="宋体" w:cs="宋体"/>
                <w:sz w:val="24"/>
                <w:szCs w:val="24"/>
                <w:lang w:val="en-US" w:eastAsia="zh-CN"/>
              </w:rPr>
            </w:pPr>
            <w:r>
              <w:rPr>
                <w:rFonts w:ascii="宋体" w:hAnsi="宋体" w:eastAsia="宋体" w:cs="宋体"/>
                <w:kern w:val="0"/>
                <w:sz w:val="24"/>
                <w:szCs w:val="24"/>
                <w:lang w:val="en-US" w:eastAsia="zh-CN" w:bidi="ar"/>
              </w:rPr>
              <w:t>根据响应供应商</w:t>
            </w:r>
            <w:r>
              <w:rPr>
                <w:rFonts w:hint="eastAsia" w:ascii="宋体" w:hAnsi="宋体" w:eastAsia="宋体" w:cs="宋体"/>
                <w:kern w:val="0"/>
                <w:sz w:val="24"/>
                <w:szCs w:val="24"/>
                <w:lang w:val="en-US" w:eastAsia="zh-CN" w:bidi="ar"/>
              </w:rPr>
              <w:t>提供给</w:t>
            </w:r>
            <w:r>
              <w:rPr>
                <w:rFonts w:ascii="宋体" w:hAnsi="宋体" w:eastAsia="宋体" w:cs="宋体"/>
                <w:kern w:val="0"/>
                <w:sz w:val="24"/>
                <w:szCs w:val="24"/>
                <w:lang w:val="en-US" w:eastAsia="zh-CN" w:bidi="ar"/>
              </w:rPr>
              <w:t>的车辆档次、车况、驾驶人员的接待经验进行综合评价</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eastAsia="宋体" w:cs="Times New Roman"/>
                <w:kern w:val="2"/>
                <w:sz w:val="24"/>
                <w:szCs w:val="22"/>
                <w:lang w:val="en-US" w:eastAsia="zh-CN" w:bidi="ar-SA"/>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10" w:type="dxa"/>
            <w:vAlign w:val="center"/>
          </w:tcPr>
          <w:p>
            <w:pPr>
              <w:spacing w:line="440" w:lineRule="exact"/>
              <w:jc w:val="center"/>
              <w:rPr>
                <w:rFonts w:hint="eastAsia" w:ascii="宋体" w:hAnsi="宋体" w:eastAsia="宋体" w:cs="Arial"/>
                <w:kern w:val="10"/>
                <w:sz w:val="24"/>
                <w:lang w:eastAsia="zh-CN"/>
              </w:rPr>
            </w:pPr>
            <w:r>
              <w:rPr>
                <w:rFonts w:hint="eastAsia" w:ascii="宋体" w:hAnsi="宋体" w:cs="Arial"/>
                <w:kern w:val="10"/>
                <w:sz w:val="24"/>
              </w:rPr>
              <w:t>1-</w:t>
            </w:r>
            <w:r>
              <w:rPr>
                <w:rFonts w:hint="eastAsia" w:ascii="宋体" w:hAnsi="宋体" w:cs="Arial"/>
                <w:kern w:val="10"/>
                <w:sz w:val="24"/>
                <w:lang w:val="en-US" w:eastAsia="zh-CN"/>
              </w:rPr>
              <w:t>3</w:t>
            </w:r>
          </w:p>
        </w:tc>
        <w:tc>
          <w:tcPr>
            <w:tcW w:w="8750" w:type="dxa"/>
            <w:vAlign w:val="center"/>
          </w:tcPr>
          <w:p>
            <w:pPr>
              <w:spacing w:line="440" w:lineRule="exact"/>
              <w:rPr>
                <w:rFonts w:hint="eastAsia" w:ascii="宋体" w:hAnsi="宋体" w:cs="宋体"/>
                <w:sz w:val="24"/>
                <w:szCs w:val="24"/>
                <w:lang w:val="en-US" w:eastAsia="zh-CN"/>
              </w:rPr>
            </w:pPr>
            <w:r>
              <w:rPr>
                <w:rFonts w:ascii="宋体" w:hAnsi="宋体" w:eastAsia="宋体" w:cs="宋体"/>
                <w:kern w:val="0"/>
                <w:sz w:val="24"/>
                <w:szCs w:val="24"/>
                <w:lang w:val="en-US" w:eastAsia="zh-CN" w:bidi="ar"/>
              </w:rPr>
              <w:t>根据响应供应商</w:t>
            </w:r>
            <w:r>
              <w:rPr>
                <w:rFonts w:hint="eastAsia" w:ascii="宋体" w:hAnsi="宋体" w:eastAsia="宋体" w:cs="宋体"/>
                <w:kern w:val="0"/>
                <w:sz w:val="24"/>
                <w:szCs w:val="24"/>
                <w:lang w:val="en-US" w:eastAsia="zh-CN" w:bidi="ar"/>
              </w:rPr>
              <w:t>导游讲解人员的星级、综合素质</w:t>
            </w:r>
            <w:r>
              <w:rPr>
                <w:rFonts w:ascii="宋体" w:hAnsi="宋体" w:eastAsia="宋体" w:cs="宋体"/>
                <w:kern w:val="0"/>
                <w:sz w:val="24"/>
                <w:szCs w:val="24"/>
                <w:lang w:val="en-US" w:eastAsia="zh-CN" w:bidi="ar"/>
              </w:rPr>
              <w:t>进行综合评价</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sz w:val="24"/>
                <w:lang w:val="en-US" w:eastAsia="zh-CN"/>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10" w:type="dxa"/>
            <w:vAlign w:val="center"/>
          </w:tcPr>
          <w:p>
            <w:pPr>
              <w:spacing w:line="440" w:lineRule="exact"/>
              <w:jc w:val="center"/>
              <w:rPr>
                <w:rFonts w:hint="eastAsia" w:ascii="宋体" w:hAnsi="宋体" w:eastAsia="宋体" w:cs="Arial"/>
                <w:kern w:val="10"/>
                <w:sz w:val="24"/>
                <w:szCs w:val="22"/>
                <w:lang w:val="en-US" w:eastAsia="zh-CN" w:bidi="ar-SA"/>
              </w:rPr>
            </w:pPr>
            <w:r>
              <w:rPr>
                <w:rFonts w:hint="eastAsia" w:ascii="宋体" w:hAnsi="宋体" w:cs="Arial"/>
                <w:kern w:val="10"/>
                <w:sz w:val="24"/>
              </w:rPr>
              <w:t>1-</w:t>
            </w:r>
            <w:r>
              <w:rPr>
                <w:rFonts w:hint="eastAsia" w:ascii="宋体" w:hAnsi="宋体" w:cs="Arial"/>
                <w:kern w:val="10"/>
                <w:sz w:val="24"/>
                <w:lang w:val="en-US" w:eastAsia="zh-CN"/>
              </w:rPr>
              <w:t>4</w:t>
            </w:r>
          </w:p>
        </w:tc>
        <w:tc>
          <w:tcPr>
            <w:tcW w:w="8750" w:type="dxa"/>
            <w:vAlign w:val="center"/>
          </w:tcPr>
          <w:p>
            <w:pPr>
              <w:spacing w:line="440" w:lineRule="exact"/>
              <w:rPr>
                <w:rFonts w:hint="eastAsia" w:ascii="宋体" w:hAnsi="宋体" w:eastAsia="宋体" w:cs="Times New Roman"/>
                <w:kern w:val="2"/>
                <w:sz w:val="24"/>
                <w:szCs w:val="22"/>
                <w:lang w:val="en-US" w:eastAsia="zh-CN" w:bidi="ar-SA"/>
              </w:rPr>
            </w:pPr>
            <w:r>
              <w:rPr>
                <w:rFonts w:hint="eastAsia" w:ascii="宋体" w:hAnsi="宋体" w:cs="宋体"/>
                <w:sz w:val="24"/>
                <w:szCs w:val="24"/>
                <w:lang w:val="en-US" w:eastAsia="zh-CN"/>
              </w:rPr>
              <w:t>根据供应商购买保险的种类，金额等进行综合评价。</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eastAsia="宋体" w:cs="Times New Roman"/>
                <w:kern w:val="2"/>
                <w:sz w:val="24"/>
                <w:szCs w:val="22"/>
                <w:lang w:val="en-US" w:eastAsia="zh-CN" w:bidi="ar-SA"/>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10" w:type="dxa"/>
            <w:vAlign w:val="center"/>
          </w:tcPr>
          <w:p>
            <w:pPr>
              <w:spacing w:line="440" w:lineRule="exact"/>
              <w:jc w:val="center"/>
              <w:rPr>
                <w:rFonts w:hint="eastAsia" w:ascii="宋体" w:hAnsi="宋体" w:eastAsia="宋体" w:cs="Arial"/>
                <w:kern w:val="10"/>
                <w:sz w:val="24"/>
                <w:lang w:eastAsia="zh-CN"/>
              </w:rPr>
            </w:pPr>
            <w:r>
              <w:rPr>
                <w:rFonts w:hint="eastAsia" w:ascii="宋体" w:hAnsi="宋体" w:cs="Arial"/>
                <w:kern w:val="10"/>
                <w:sz w:val="24"/>
              </w:rPr>
              <w:t>1-</w:t>
            </w:r>
            <w:r>
              <w:rPr>
                <w:rFonts w:hint="eastAsia" w:ascii="宋体" w:hAnsi="宋体" w:cs="Arial"/>
                <w:kern w:val="10"/>
                <w:sz w:val="24"/>
                <w:lang w:val="en-US" w:eastAsia="zh-CN"/>
              </w:rPr>
              <w:t>5</w:t>
            </w:r>
          </w:p>
        </w:tc>
        <w:tc>
          <w:tcPr>
            <w:tcW w:w="8750" w:type="dxa"/>
            <w:vAlign w:val="center"/>
          </w:tcPr>
          <w:p>
            <w:pPr>
              <w:spacing w:line="440" w:lineRule="exact"/>
              <w:rPr>
                <w:rFonts w:hint="eastAsia" w:ascii="宋体" w:hAnsi="宋体"/>
                <w:sz w:val="24"/>
                <w:lang w:eastAsia="zh-CN"/>
              </w:rPr>
            </w:pPr>
            <w:r>
              <w:rPr>
                <w:rFonts w:ascii="宋体" w:hAnsi="宋体" w:eastAsia="宋体" w:cs="宋体"/>
                <w:sz w:val="24"/>
                <w:szCs w:val="24"/>
              </w:rPr>
              <w:t>根据</w:t>
            </w:r>
            <w:r>
              <w:rPr>
                <w:rFonts w:hint="eastAsia" w:ascii="宋体" w:hAnsi="宋体" w:cs="宋体"/>
                <w:sz w:val="24"/>
                <w:szCs w:val="24"/>
                <w:lang w:eastAsia="zh-CN"/>
              </w:rPr>
              <w:t>供应商</w:t>
            </w:r>
            <w:r>
              <w:rPr>
                <w:rFonts w:ascii="宋体" w:hAnsi="宋体" w:eastAsia="宋体" w:cs="宋体"/>
                <w:sz w:val="24"/>
                <w:szCs w:val="24"/>
              </w:rPr>
              <w:t>提供的</w:t>
            </w:r>
            <w:r>
              <w:rPr>
                <w:rFonts w:hint="eastAsia" w:ascii="宋体" w:hAnsi="宋体" w:eastAsia="宋体" w:cs="宋体"/>
                <w:sz w:val="24"/>
                <w:szCs w:val="24"/>
                <w:lang w:val="en-US" w:eastAsia="zh-CN"/>
              </w:rPr>
              <w:t>完成本项目的建议创新性和独特性</w:t>
            </w:r>
            <w:r>
              <w:rPr>
                <w:rFonts w:ascii="宋体" w:hAnsi="宋体" w:eastAsia="宋体" w:cs="宋体"/>
                <w:sz w:val="24"/>
                <w:szCs w:val="24"/>
              </w:rPr>
              <w:t>进行评分。</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sz w:val="24"/>
                <w:lang w:val="en-US" w:eastAsia="zh-CN"/>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Align w:val="center"/>
          </w:tcPr>
          <w:p>
            <w:pPr>
              <w:spacing w:line="440" w:lineRule="exact"/>
              <w:jc w:val="center"/>
              <w:rPr>
                <w:rFonts w:hint="eastAsia" w:ascii="宋体" w:hAnsi="宋体" w:eastAsia="宋体" w:cs="Arial"/>
                <w:kern w:val="10"/>
                <w:sz w:val="24"/>
                <w:szCs w:val="22"/>
                <w:lang w:val="en-US" w:eastAsia="zh-CN" w:bidi="ar-SA"/>
              </w:rPr>
            </w:pPr>
            <w:r>
              <w:rPr>
                <w:rFonts w:hint="eastAsia" w:ascii="宋体" w:hAnsi="宋体" w:cs="Arial"/>
                <w:kern w:val="10"/>
                <w:sz w:val="24"/>
              </w:rPr>
              <w:t>1-</w:t>
            </w:r>
            <w:r>
              <w:rPr>
                <w:rFonts w:hint="eastAsia" w:ascii="宋体" w:hAnsi="宋体" w:cs="Arial"/>
                <w:kern w:val="10"/>
                <w:sz w:val="24"/>
                <w:lang w:val="en-US" w:eastAsia="zh-CN"/>
              </w:rPr>
              <w:t>6</w:t>
            </w:r>
          </w:p>
        </w:tc>
        <w:tc>
          <w:tcPr>
            <w:tcW w:w="8750" w:type="dxa"/>
            <w:vAlign w:val="center"/>
          </w:tcPr>
          <w:p>
            <w:pPr>
              <w:spacing w:line="440" w:lineRule="exact"/>
              <w:rPr>
                <w:rFonts w:hint="eastAsia" w:ascii="宋体" w:hAnsi="宋体" w:eastAsia="宋体" w:cs="Times New Roman"/>
                <w:kern w:val="2"/>
                <w:sz w:val="24"/>
                <w:szCs w:val="22"/>
                <w:lang w:val="en-US" w:eastAsia="zh-CN" w:bidi="ar-SA"/>
              </w:rPr>
            </w:pPr>
            <w:r>
              <w:rPr>
                <w:rFonts w:ascii="宋体" w:hAnsi="宋体" w:eastAsia="宋体" w:cs="宋体"/>
                <w:sz w:val="24"/>
                <w:szCs w:val="24"/>
              </w:rPr>
              <w:t>根据</w:t>
            </w:r>
            <w:r>
              <w:rPr>
                <w:rFonts w:hint="eastAsia" w:ascii="宋体" w:hAnsi="宋体" w:cs="宋体"/>
                <w:sz w:val="24"/>
                <w:szCs w:val="24"/>
                <w:lang w:eastAsia="zh-CN"/>
              </w:rPr>
              <w:t>供应商</w:t>
            </w:r>
            <w:r>
              <w:rPr>
                <w:rFonts w:ascii="宋体" w:hAnsi="宋体" w:eastAsia="宋体" w:cs="宋体"/>
                <w:sz w:val="24"/>
                <w:szCs w:val="24"/>
              </w:rPr>
              <w:t>提供的完成本项目质量保障措施科学性、合理性、针对性进行评分。</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eastAsia="宋体" w:cs="Times New Roman"/>
                <w:kern w:val="2"/>
                <w:sz w:val="24"/>
                <w:szCs w:val="22"/>
                <w:lang w:val="en-US" w:eastAsia="zh-CN" w:bidi="ar-SA"/>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10" w:type="dxa"/>
            <w:vAlign w:val="center"/>
          </w:tcPr>
          <w:p>
            <w:pPr>
              <w:spacing w:line="440" w:lineRule="exact"/>
              <w:jc w:val="center"/>
              <w:rPr>
                <w:rFonts w:hint="eastAsia" w:ascii="宋体" w:hAnsi="宋体" w:eastAsia="宋体" w:cs="Arial"/>
                <w:kern w:val="10"/>
                <w:sz w:val="24"/>
                <w:szCs w:val="22"/>
                <w:lang w:val="en-US" w:eastAsia="zh-CN" w:bidi="ar-SA"/>
              </w:rPr>
            </w:pPr>
            <w:r>
              <w:rPr>
                <w:rFonts w:hint="eastAsia" w:ascii="宋体" w:hAnsi="宋体" w:cs="Arial"/>
                <w:kern w:val="10"/>
                <w:sz w:val="24"/>
              </w:rPr>
              <w:t>1-</w:t>
            </w:r>
            <w:r>
              <w:rPr>
                <w:rFonts w:hint="eastAsia" w:ascii="宋体" w:hAnsi="宋体" w:cs="Arial"/>
                <w:kern w:val="10"/>
                <w:sz w:val="24"/>
                <w:lang w:val="en-US" w:eastAsia="zh-CN"/>
              </w:rPr>
              <w:t>7</w:t>
            </w:r>
          </w:p>
        </w:tc>
        <w:tc>
          <w:tcPr>
            <w:tcW w:w="8750" w:type="dxa"/>
            <w:vAlign w:val="center"/>
          </w:tcPr>
          <w:p>
            <w:pPr>
              <w:spacing w:line="440" w:lineRule="exact"/>
              <w:rPr>
                <w:rFonts w:hint="eastAsia" w:ascii="宋体" w:hAnsi="宋体" w:eastAsia="宋体" w:cs="Times New Roman"/>
                <w:kern w:val="2"/>
                <w:sz w:val="24"/>
                <w:szCs w:val="22"/>
                <w:lang w:val="en-US" w:eastAsia="zh-CN" w:bidi="ar-SA"/>
              </w:rPr>
            </w:pPr>
            <w:r>
              <w:rPr>
                <w:rFonts w:hint="eastAsia" w:ascii="宋体" w:hAnsi="宋体"/>
                <w:sz w:val="24"/>
                <w:lang w:eastAsia="zh-CN"/>
              </w:rPr>
              <w:t>根据供应商提供</w:t>
            </w:r>
            <w:r>
              <w:rPr>
                <w:rFonts w:hint="eastAsia" w:ascii="宋体" w:hAnsi="宋体"/>
                <w:sz w:val="24"/>
                <w:lang w:val="en-US" w:eastAsia="zh-CN"/>
              </w:rPr>
              <w:t>本项目</w:t>
            </w:r>
            <w:r>
              <w:rPr>
                <w:rFonts w:hint="eastAsia" w:ascii="宋体" w:hAnsi="宋体"/>
                <w:sz w:val="24"/>
                <w:lang w:eastAsia="zh-CN"/>
              </w:rPr>
              <w:t>突发应急事件处理方案</w:t>
            </w:r>
            <w:r>
              <w:rPr>
                <w:rFonts w:hint="eastAsia" w:ascii="宋体" w:hAnsi="宋体"/>
                <w:sz w:val="24"/>
              </w:rPr>
              <w:t>完整性、针对性、合理性进行</w:t>
            </w:r>
            <w:r>
              <w:rPr>
                <w:rFonts w:hint="eastAsia" w:ascii="宋体" w:hAnsi="宋体"/>
                <w:sz w:val="24"/>
                <w:lang w:eastAsia="zh-CN"/>
              </w:rPr>
              <w:t>比较评价。</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r>
              <w:rPr>
                <w:rFonts w:hint="eastAsia" w:ascii="宋体" w:hAnsi="宋体"/>
                <w:sz w:val="24"/>
              </w:rPr>
              <w:t xml:space="preserve"> </w:t>
            </w:r>
          </w:p>
        </w:tc>
        <w:tc>
          <w:tcPr>
            <w:tcW w:w="640" w:type="dxa"/>
            <w:vAlign w:val="center"/>
          </w:tcPr>
          <w:p>
            <w:pPr>
              <w:spacing w:line="440" w:lineRule="exact"/>
              <w:ind w:left="-99" w:leftChars="-47" w:right="-78" w:rightChars="-37"/>
              <w:jc w:val="center"/>
              <w:rPr>
                <w:rFonts w:hint="eastAsia" w:ascii="宋体" w:hAnsi="宋体" w:eastAsia="宋体" w:cs="Times New Roman"/>
                <w:kern w:val="2"/>
                <w:sz w:val="24"/>
                <w:szCs w:val="22"/>
                <w:lang w:val="en-US" w:eastAsia="zh-CN" w:bidi="ar-SA"/>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10" w:type="dxa"/>
            <w:vAlign w:val="center"/>
          </w:tcPr>
          <w:p>
            <w:pPr>
              <w:spacing w:line="440" w:lineRule="exact"/>
              <w:jc w:val="center"/>
              <w:rPr>
                <w:rFonts w:hint="eastAsia" w:ascii="宋体" w:hAnsi="宋体" w:eastAsia="宋体" w:cs="Arial"/>
                <w:kern w:val="10"/>
                <w:sz w:val="24"/>
                <w:szCs w:val="22"/>
                <w:lang w:val="en-US" w:eastAsia="zh-CN" w:bidi="ar-SA"/>
              </w:rPr>
            </w:pPr>
            <w:r>
              <w:rPr>
                <w:rFonts w:hint="eastAsia" w:ascii="宋体" w:hAnsi="宋体" w:cs="Arial"/>
                <w:kern w:val="10"/>
                <w:sz w:val="24"/>
              </w:rPr>
              <w:t>1-</w:t>
            </w:r>
            <w:r>
              <w:rPr>
                <w:rFonts w:hint="eastAsia" w:ascii="宋体" w:hAnsi="宋体" w:cs="Arial"/>
                <w:kern w:val="10"/>
                <w:sz w:val="24"/>
                <w:lang w:val="en-US" w:eastAsia="zh-CN"/>
              </w:rPr>
              <w:t>8</w:t>
            </w:r>
          </w:p>
        </w:tc>
        <w:tc>
          <w:tcPr>
            <w:tcW w:w="8750" w:type="dxa"/>
            <w:vAlign w:val="center"/>
          </w:tcPr>
          <w:p>
            <w:pPr>
              <w:spacing w:line="440" w:lineRule="exact"/>
              <w:rPr>
                <w:rFonts w:hint="eastAsia" w:ascii="宋体" w:hAnsi="宋体" w:eastAsia="宋体" w:cs="Times New Roman"/>
                <w:kern w:val="2"/>
                <w:sz w:val="24"/>
                <w:szCs w:val="22"/>
                <w:lang w:val="en-US" w:eastAsia="zh-CN" w:bidi="ar-SA"/>
              </w:rPr>
            </w:pPr>
            <w:r>
              <w:rPr>
                <w:rFonts w:hint="eastAsia" w:ascii="宋体" w:hAnsi="宋体"/>
                <w:sz w:val="24"/>
                <w:lang w:eastAsia="zh-CN"/>
              </w:rPr>
              <w:t>根据供应商提供</w:t>
            </w:r>
            <w:r>
              <w:rPr>
                <w:rFonts w:hint="eastAsia" w:ascii="宋体" w:hAnsi="宋体"/>
                <w:sz w:val="24"/>
                <w:lang w:val="en-US" w:eastAsia="zh-CN"/>
              </w:rPr>
              <w:t>本项目新冠疫情防控方案</w:t>
            </w:r>
            <w:r>
              <w:rPr>
                <w:rFonts w:hint="eastAsia" w:ascii="宋体" w:hAnsi="宋体"/>
                <w:sz w:val="24"/>
              </w:rPr>
              <w:t>进行</w:t>
            </w:r>
            <w:r>
              <w:rPr>
                <w:rFonts w:hint="eastAsia" w:ascii="宋体" w:hAnsi="宋体"/>
                <w:sz w:val="24"/>
                <w:lang w:eastAsia="zh-CN"/>
              </w:rPr>
              <w:t>比较评价。</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eastAsia="宋体" w:cs="Times New Roman"/>
                <w:kern w:val="2"/>
                <w:sz w:val="24"/>
                <w:szCs w:val="22"/>
                <w:lang w:val="en-US" w:eastAsia="zh-CN" w:bidi="ar-SA"/>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Align w:val="center"/>
          </w:tcPr>
          <w:p>
            <w:pPr>
              <w:spacing w:line="440" w:lineRule="exact"/>
              <w:jc w:val="center"/>
              <w:rPr>
                <w:rFonts w:hint="eastAsia" w:ascii="宋体" w:hAnsi="宋体" w:cs="Arial"/>
                <w:kern w:val="10"/>
                <w:sz w:val="24"/>
                <w:lang w:val="en-US" w:eastAsia="zh-CN"/>
              </w:rPr>
            </w:pPr>
            <w:r>
              <w:rPr>
                <w:rFonts w:hint="eastAsia" w:ascii="宋体" w:hAnsi="宋体" w:cs="Arial"/>
                <w:kern w:val="10"/>
                <w:sz w:val="24"/>
                <w:lang w:val="en-US" w:eastAsia="zh-CN"/>
              </w:rPr>
              <w:t>1-9</w:t>
            </w:r>
          </w:p>
        </w:tc>
        <w:tc>
          <w:tcPr>
            <w:tcW w:w="8750" w:type="dxa"/>
            <w:vAlign w:val="center"/>
          </w:tcPr>
          <w:p>
            <w:pPr>
              <w:spacing w:line="440" w:lineRule="exact"/>
              <w:rPr>
                <w:rFonts w:ascii="宋体" w:hAnsi="宋体" w:eastAsia="宋体" w:cs="宋体"/>
                <w:sz w:val="24"/>
                <w:szCs w:val="24"/>
              </w:rPr>
            </w:pPr>
            <w:r>
              <w:rPr>
                <w:rFonts w:hint="eastAsia" w:ascii="宋体" w:hAnsi="宋体" w:cs="宋体"/>
                <w:sz w:val="24"/>
                <w:szCs w:val="24"/>
                <w:lang w:eastAsia="zh-CN"/>
              </w:rPr>
              <w:t>根据供应商</w:t>
            </w:r>
            <w:r>
              <w:rPr>
                <w:rFonts w:hint="eastAsia" w:ascii="宋体" w:hAnsi="宋体"/>
                <w:sz w:val="24"/>
              </w:rPr>
              <w:t>提出完整的售后服务方案</w:t>
            </w:r>
            <w:r>
              <w:rPr>
                <w:rFonts w:hint="eastAsia" w:ascii="宋体" w:hAnsi="宋体"/>
                <w:sz w:val="24"/>
                <w:lang w:eastAsia="zh-CN"/>
              </w:rPr>
              <w:t>，</w:t>
            </w:r>
            <w:r>
              <w:rPr>
                <w:rFonts w:hint="eastAsia" w:ascii="宋体" w:hAnsi="宋体"/>
                <w:sz w:val="24"/>
              </w:rPr>
              <w:t>服务体系完备、机构设置</w:t>
            </w:r>
            <w:r>
              <w:rPr>
                <w:rFonts w:hint="eastAsia" w:ascii="宋体" w:hAnsi="宋体"/>
                <w:sz w:val="24"/>
                <w:lang w:eastAsia="zh-CN"/>
              </w:rPr>
              <w:t>进行比较评价：</w:t>
            </w:r>
            <w:r>
              <w:rPr>
                <w:rFonts w:ascii="宋体" w:hAnsi="宋体" w:eastAsia="宋体" w:cs="宋体"/>
                <w:kern w:val="0"/>
                <w:sz w:val="24"/>
                <w:szCs w:val="24"/>
                <w:lang w:val="en-US" w:eastAsia="zh-CN" w:bidi="ar"/>
              </w:rPr>
              <w:t>综合评价优秀得</w:t>
            </w: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分；综合评价良好得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分；综合评价普通及其他的得</w:t>
            </w: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分。</w:t>
            </w:r>
          </w:p>
        </w:tc>
        <w:tc>
          <w:tcPr>
            <w:tcW w:w="640" w:type="dxa"/>
            <w:vAlign w:val="center"/>
          </w:tcPr>
          <w:p>
            <w:pPr>
              <w:spacing w:line="440" w:lineRule="exact"/>
              <w:jc w:val="center"/>
              <w:rPr>
                <w:rFonts w:hint="eastAsia" w:ascii="宋体" w:hAnsi="宋体"/>
                <w:sz w:val="24"/>
                <w:lang w:val="en-US" w:eastAsia="zh-CN"/>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10" w:type="dxa"/>
            <w:vAlign w:val="center"/>
          </w:tcPr>
          <w:p>
            <w:pPr>
              <w:spacing w:line="440" w:lineRule="exact"/>
              <w:jc w:val="center"/>
              <w:rPr>
                <w:rFonts w:hint="eastAsia" w:ascii="宋体" w:hAnsi="宋体" w:cs="Arial"/>
                <w:kern w:val="10"/>
                <w:sz w:val="24"/>
                <w:lang w:val="en-US" w:eastAsia="zh-CN"/>
              </w:rPr>
            </w:pPr>
            <w:r>
              <w:rPr>
                <w:rFonts w:hint="eastAsia" w:ascii="宋体" w:hAnsi="宋体" w:cs="Arial"/>
                <w:kern w:val="10"/>
                <w:sz w:val="24"/>
                <w:lang w:val="en-US" w:eastAsia="zh-CN"/>
              </w:rPr>
              <w:t>1-10</w:t>
            </w:r>
          </w:p>
        </w:tc>
        <w:tc>
          <w:tcPr>
            <w:tcW w:w="8750" w:type="dxa"/>
            <w:vAlign w:val="center"/>
          </w:tcPr>
          <w:p>
            <w:pPr>
              <w:spacing w:line="440" w:lineRule="exact"/>
              <w:rPr>
                <w:rFonts w:hint="eastAsia" w:ascii="宋体" w:hAnsi="宋体" w:cs="宋体"/>
                <w:sz w:val="24"/>
                <w:szCs w:val="24"/>
                <w:lang w:eastAsia="zh-CN"/>
              </w:rPr>
            </w:pPr>
            <w:r>
              <w:rPr>
                <w:rFonts w:hint="eastAsia" w:ascii="宋体" w:hAnsi="宋体"/>
                <w:sz w:val="24"/>
              </w:rPr>
              <w:t>根据</w:t>
            </w:r>
            <w:r>
              <w:rPr>
                <w:rFonts w:hint="eastAsia" w:ascii="宋体" w:hAnsi="宋体"/>
                <w:sz w:val="24"/>
                <w:lang w:eastAsia="zh-CN"/>
              </w:rPr>
              <w:t>供应商</w:t>
            </w:r>
            <w:r>
              <w:rPr>
                <w:rFonts w:hint="eastAsia" w:ascii="宋体" w:hAnsi="宋体"/>
                <w:sz w:val="24"/>
              </w:rPr>
              <w:t>提供的有利于采购人的其他</w:t>
            </w:r>
            <w:r>
              <w:rPr>
                <w:rFonts w:hint="eastAsia" w:ascii="宋体" w:hAnsi="宋体"/>
                <w:sz w:val="24"/>
                <w:lang w:val="en-US" w:eastAsia="zh-CN"/>
              </w:rPr>
              <w:t>增值</w:t>
            </w:r>
            <w:r>
              <w:rPr>
                <w:rFonts w:hint="eastAsia" w:ascii="宋体" w:hAnsi="宋体"/>
                <w:sz w:val="24"/>
              </w:rPr>
              <w:t>服务进行综合评价，每提供一项有实质性内容的其他服务，并经评标委员会认可的得1分，该项满分3分。</w:t>
            </w:r>
          </w:p>
        </w:tc>
        <w:tc>
          <w:tcPr>
            <w:tcW w:w="640" w:type="dxa"/>
            <w:vAlign w:val="center"/>
          </w:tcPr>
          <w:p>
            <w:pPr>
              <w:spacing w:line="440" w:lineRule="exact"/>
              <w:jc w:val="center"/>
              <w:rPr>
                <w:rFonts w:hint="eastAsia" w:ascii="宋体" w:hAnsi="宋体"/>
                <w:sz w:val="24"/>
                <w:lang w:val="en-US" w:eastAsia="zh-CN"/>
              </w:rPr>
            </w:pPr>
            <w:r>
              <w:rPr>
                <w:rFonts w:hint="eastAsia" w:ascii="宋体" w:hAnsi="宋体"/>
                <w:sz w:val="24"/>
                <w:lang w:val="en-US" w:eastAsia="zh-CN"/>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0100" w:type="dxa"/>
            <w:gridSpan w:val="3"/>
            <w:vAlign w:val="center"/>
          </w:tcPr>
          <w:p>
            <w:pPr>
              <w:spacing w:line="440" w:lineRule="exact"/>
              <w:jc w:val="center"/>
              <w:rPr>
                <w:rFonts w:ascii="宋体" w:hAnsi="宋体" w:cs="Arial"/>
                <w:bCs/>
                <w:sz w:val="24"/>
                <w:highlight w:val="none"/>
              </w:rPr>
            </w:pPr>
            <w:r>
              <w:rPr>
                <w:rFonts w:hint="eastAsia" w:ascii="宋体" w:hAnsi="宋体" w:cs="Arial"/>
                <w:b/>
                <w:sz w:val="24"/>
                <w:highlight w:val="none"/>
              </w:rPr>
              <w:t>2、</w:t>
            </w:r>
            <w:r>
              <w:rPr>
                <w:rFonts w:hint="eastAsia" w:ascii="宋体" w:hAnsi="宋体"/>
                <w:b/>
                <w:sz w:val="24"/>
                <w:highlight w:val="none"/>
              </w:rPr>
              <w:t>商务因素（满分</w:t>
            </w:r>
            <w:r>
              <w:rPr>
                <w:rFonts w:hint="eastAsia" w:ascii="宋体" w:hAnsi="宋体"/>
                <w:b/>
                <w:sz w:val="24"/>
                <w:highlight w:val="none"/>
                <w:lang w:val="en-US" w:eastAsia="zh-CN"/>
              </w:rPr>
              <w:t>20</w:t>
            </w:r>
            <w:r>
              <w:rPr>
                <w:rFonts w:hint="eastAsia" w:ascii="宋体" w:hAnsi="宋体"/>
                <w:b/>
                <w:sz w:val="24"/>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pPr>
              <w:spacing w:line="440" w:lineRule="exact"/>
              <w:jc w:val="center"/>
              <w:rPr>
                <w:rFonts w:hint="eastAsia" w:ascii="宋体" w:hAnsi="宋体"/>
                <w:b w:val="0"/>
                <w:bCs w:val="0"/>
                <w:sz w:val="24"/>
              </w:rPr>
            </w:pPr>
            <w:r>
              <w:rPr>
                <w:rFonts w:hint="eastAsia" w:ascii="宋体" w:hAnsi="宋体"/>
                <w:b w:val="0"/>
                <w:bCs w:val="0"/>
                <w:sz w:val="24"/>
              </w:rPr>
              <w:t>2-1</w:t>
            </w:r>
          </w:p>
        </w:tc>
        <w:tc>
          <w:tcPr>
            <w:tcW w:w="8750" w:type="dxa"/>
            <w:vAlign w:val="center"/>
          </w:tcPr>
          <w:p>
            <w:pPr>
              <w:spacing w:line="440" w:lineRule="exact"/>
              <w:rPr>
                <w:rFonts w:hint="eastAsia" w:ascii="宋体" w:hAnsi="宋体"/>
                <w:b w:val="0"/>
                <w:bCs w:val="0"/>
                <w:color w:val="auto"/>
                <w:sz w:val="24"/>
              </w:rPr>
            </w:pPr>
            <w:r>
              <w:rPr>
                <w:rFonts w:ascii="宋体" w:hAnsi="宋体" w:eastAsia="宋体" w:cs="宋体"/>
                <w:kern w:val="0"/>
                <w:sz w:val="24"/>
                <w:szCs w:val="24"/>
                <w:lang w:val="en-US" w:eastAsia="zh-CN" w:bidi="ar"/>
              </w:rPr>
              <w:t>根据供应商能提供企业荣誉证书</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国家级每个2分；省级每提供1个得1分；市级的每提供2项的得1分，提供1项或未提供均不得分。</w:t>
            </w:r>
            <w:r>
              <w:rPr>
                <w:rFonts w:hint="eastAsia" w:ascii="宋体" w:hAnsi="宋体" w:eastAsia="宋体" w:cs="宋体"/>
                <w:kern w:val="0"/>
                <w:sz w:val="24"/>
                <w:szCs w:val="24"/>
                <w:lang w:val="en-US" w:eastAsia="zh-CN" w:bidi="ar"/>
              </w:rPr>
              <w:t>（需提供证明文件复印件）</w:t>
            </w:r>
          </w:p>
        </w:tc>
        <w:tc>
          <w:tcPr>
            <w:tcW w:w="640" w:type="dxa"/>
            <w:vAlign w:val="center"/>
          </w:tcPr>
          <w:p>
            <w:pPr>
              <w:spacing w:line="440" w:lineRule="exact"/>
              <w:ind w:left="-99" w:leftChars="-47" w:right="-78" w:rightChars="-37"/>
              <w:jc w:val="center"/>
              <w:rPr>
                <w:rFonts w:hint="eastAsia" w:ascii="宋体" w:hAnsi="宋体" w:eastAsia="宋体"/>
                <w:color w:val="auto"/>
                <w:sz w:val="24"/>
                <w:lang w:val="en-US" w:eastAsia="zh-CN"/>
              </w:rPr>
            </w:pPr>
            <w:r>
              <w:rPr>
                <w:rFonts w:hint="eastAsia" w:ascii="宋体" w:hAnsi="宋体"/>
                <w:color w:val="auto"/>
                <w:sz w:val="24"/>
                <w:lang w:val="en-US" w:eastAsia="zh-CN"/>
              </w:rPr>
              <w:t>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pPr>
              <w:spacing w:line="440" w:lineRule="exact"/>
              <w:jc w:val="center"/>
              <w:rPr>
                <w:rFonts w:hint="eastAsia" w:ascii="宋体" w:hAnsi="宋体"/>
                <w:b w:val="0"/>
                <w:bCs w:val="0"/>
                <w:sz w:val="24"/>
              </w:rPr>
            </w:pPr>
            <w:r>
              <w:rPr>
                <w:rFonts w:hint="eastAsia" w:ascii="宋体" w:hAnsi="宋体"/>
                <w:b w:val="0"/>
                <w:bCs w:val="0"/>
                <w:sz w:val="24"/>
              </w:rPr>
              <w:t>2-</w:t>
            </w:r>
            <w:r>
              <w:rPr>
                <w:rFonts w:hint="eastAsia" w:ascii="宋体" w:hAnsi="宋体"/>
                <w:b w:val="0"/>
                <w:bCs w:val="0"/>
                <w:sz w:val="24"/>
                <w:lang w:val="en-US" w:eastAsia="zh-CN"/>
              </w:rPr>
              <w:t>2</w:t>
            </w:r>
          </w:p>
        </w:tc>
        <w:tc>
          <w:tcPr>
            <w:tcW w:w="8750" w:type="dxa"/>
            <w:vAlign w:val="center"/>
          </w:tcPr>
          <w:p>
            <w:pPr>
              <w:spacing w:line="440" w:lineRule="exac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根据响应供应商</w:t>
            </w:r>
            <w:r>
              <w:rPr>
                <w:rFonts w:hint="eastAsia" w:ascii="宋体" w:hAnsi="宋体" w:eastAsia="宋体" w:cs="宋体"/>
                <w:kern w:val="0"/>
                <w:sz w:val="24"/>
                <w:szCs w:val="24"/>
                <w:lang w:val="en-US" w:eastAsia="zh-CN" w:bidi="ar"/>
              </w:rPr>
              <w:t>经营过程中诚信守信和纳税情况正面评价情况：每提供一个相关证书1个得1分（需提供相关证明文件复印件）</w:t>
            </w:r>
          </w:p>
        </w:tc>
        <w:tc>
          <w:tcPr>
            <w:tcW w:w="640" w:type="dxa"/>
            <w:vAlign w:val="center"/>
          </w:tcPr>
          <w:p>
            <w:pPr>
              <w:spacing w:line="440" w:lineRule="exact"/>
              <w:ind w:left="-99" w:leftChars="-47" w:right="-78" w:rightChars="-37"/>
              <w:jc w:val="center"/>
              <w:rPr>
                <w:rFonts w:hint="eastAsia" w:ascii="宋体" w:hAnsi="宋体"/>
                <w:color w:val="auto"/>
                <w:sz w:val="24"/>
                <w:lang w:val="en-US" w:eastAsia="zh-CN"/>
              </w:rPr>
            </w:pPr>
            <w:r>
              <w:rPr>
                <w:rFonts w:hint="eastAsia" w:ascii="宋体" w:hAnsi="宋体"/>
                <w:sz w:val="24"/>
                <w:lang w:val="en-US" w:eastAsia="zh-CN"/>
              </w:rPr>
              <w:t>6</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pPr>
              <w:spacing w:line="440" w:lineRule="exact"/>
              <w:jc w:val="center"/>
              <w:rPr>
                <w:rFonts w:hint="eastAsia" w:ascii="宋体" w:hAnsi="宋体" w:eastAsiaTheme="minorEastAsia"/>
                <w:sz w:val="24"/>
                <w:lang w:val="en-US" w:eastAsia="zh-CN"/>
              </w:rPr>
            </w:pPr>
            <w:r>
              <w:rPr>
                <w:rFonts w:hint="eastAsia" w:ascii="宋体" w:hAnsi="宋体"/>
                <w:sz w:val="24"/>
                <w:lang w:val="en-US" w:eastAsia="zh-CN"/>
              </w:rPr>
              <w:t>2-3</w:t>
            </w:r>
          </w:p>
        </w:tc>
        <w:tc>
          <w:tcPr>
            <w:tcW w:w="8750" w:type="dxa"/>
            <w:vAlign w:val="center"/>
          </w:tcPr>
          <w:p>
            <w:pPr>
              <w:spacing w:line="440" w:lineRule="exact"/>
              <w:rPr>
                <w:rFonts w:hint="eastAsia" w:ascii="宋体" w:hAnsi="宋体" w:eastAsia="宋体" w:cs="Times New Roman"/>
                <w:b/>
                <w:kern w:val="2"/>
                <w:sz w:val="24"/>
                <w:szCs w:val="22"/>
                <w:lang w:val="en-US" w:eastAsia="zh-CN" w:bidi="ar-SA"/>
              </w:rPr>
            </w:pPr>
            <w:r>
              <w:rPr>
                <w:rFonts w:ascii="宋体" w:hAnsi="宋体" w:eastAsia="宋体" w:cs="宋体"/>
                <w:kern w:val="0"/>
                <w:sz w:val="24"/>
                <w:szCs w:val="24"/>
                <w:lang w:val="en-US" w:eastAsia="zh-CN" w:bidi="ar"/>
              </w:rPr>
              <w:t>根据响应供应商以往重大</w:t>
            </w:r>
            <w:r>
              <w:rPr>
                <w:rFonts w:hint="eastAsia" w:ascii="宋体" w:hAnsi="宋体" w:eastAsia="宋体" w:cs="宋体"/>
                <w:kern w:val="0"/>
                <w:sz w:val="24"/>
                <w:szCs w:val="24"/>
                <w:lang w:val="en-US" w:eastAsia="zh-CN" w:bidi="ar"/>
              </w:rPr>
              <w:t>活动</w:t>
            </w:r>
            <w:r>
              <w:rPr>
                <w:rFonts w:ascii="宋体" w:hAnsi="宋体" w:eastAsia="宋体" w:cs="宋体"/>
                <w:kern w:val="0"/>
                <w:sz w:val="24"/>
                <w:szCs w:val="24"/>
                <w:lang w:val="en-US" w:eastAsia="zh-CN" w:bidi="ar"/>
              </w:rPr>
              <w:t>接待项目的客户评价和客户满意度进行评价，每提供1个客户书面好评的得1分，</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须提供业主满意书面评价复印件</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w:t>
            </w:r>
          </w:p>
        </w:tc>
        <w:tc>
          <w:tcPr>
            <w:tcW w:w="640" w:type="dxa"/>
            <w:vAlign w:val="center"/>
          </w:tcPr>
          <w:p>
            <w:pPr>
              <w:spacing w:line="440" w:lineRule="exact"/>
              <w:ind w:left="-99" w:leftChars="-47" w:right="-78" w:rightChars="-37"/>
              <w:jc w:val="center"/>
              <w:rPr>
                <w:rFonts w:hint="eastAsia" w:ascii="宋体" w:hAnsi="宋体" w:eastAsia="宋体" w:cs="Times New Roman"/>
                <w:kern w:val="2"/>
                <w:sz w:val="24"/>
                <w:szCs w:val="22"/>
                <w:lang w:val="en-US" w:eastAsia="zh-CN" w:bidi="ar-SA"/>
              </w:rPr>
            </w:pPr>
            <w:r>
              <w:rPr>
                <w:rFonts w:hint="eastAsia" w:ascii="宋体" w:hAnsi="宋体"/>
                <w:sz w:val="24"/>
                <w:lang w:val="en-US" w:eastAsia="zh-CN"/>
              </w:rPr>
              <w:t>7</w:t>
            </w:r>
            <w:r>
              <w:rPr>
                <w:rFonts w:hint="eastAsia" w:ascii="宋体" w:hAnsi="宋体"/>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0" w:type="dxa"/>
            <w:gridSpan w:val="3"/>
            <w:vAlign w:val="center"/>
          </w:tcPr>
          <w:p>
            <w:pPr>
              <w:spacing w:line="440" w:lineRule="exact"/>
              <w:jc w:val="center"/>
              <w:rPr>
                <w:rFonts w:hint="eastAsia" w:ascii="宋体" w:hAnsi="宋体"/>
                <w:sz w:val="24"/>
              </w:rPr>
            </w:pPr>
            <w:r>
              <w:rPr>
                <w:rFonts w:hint="eastAsia" w:ascii="宋体" w:hAnsi="宋体"/>
                <w:b/>
                <w:sz w:val="24"/>
              </w:rPr>
              <w:t>3、价格因素（满分</w:t>
            </w:r>
            <w:r>
              <w:rPr>
                <w:rFonts w:hint="eastAsia" w:ascii="宋体" w:hAnsi="宋体"/>
                <w:b/>
                <w:sz w:val="24"/>
                <w:lang w:val="en-US" w:eastAsia="zh-CN"/>
              </w:rPr>
              <w:t>30</w:t>
            </w:r>
            <w:r>
              <w:rPr>
                <w:rFonts w:hint="eastAsia" w:ascii="宋体" w:hAnsi="宋体"/>
                <w:b/>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pPr>
              <w:spacing w:line="440" w:lineRule="exact"/>
              <w:jc w:val="center"/>
              <w:rPr>
                <w:rFonts w:ascii="宋体" w:hAnsi="宋体"/>
                <w:sz w:val="24"/>
              </w:rPr>
            </w:pPr>
            <w:r>
              <w:rPr>
                <w:rFonts w:hint="eastAsia" w:ascii="宋体" w:hAnsi="宋体"/>
                <w:sz w:val="24"/>
              </w:rPr>
              <w:t>3-1</w:t>
            </w:r>
          </w:p>
        </w:tc>
        <w:tc>
          <w:tcPr>
            <w:tcW w:w="8750" w:type="dxa"/>
            <w:vAlign w:val="center"/>
          </w:tcPr>
          <w:p>
            <w:pPr>
              <w:spacing w:line="440" w:lineRule="exact"/>
              <w:rPr>
                <w:rFonts w:ascii="宋体" w:hAnsi="宋体"/>
                <w:sz w:val="24"/>
              </w:rPr>
            </w:pPr>
            <w:r>
              <w:rPr>
                <w:rFonts w:hint="eastAsia" w:ascii="宋体" w:hAnsi="宋体"/>
                <w:sz w:val="24"/>
              </w:rPr>
              <w:t>磋商报价得分</w:t>
            </w:r>
            <w:r>
              <w:rPr>
                <w:rFonts w:ascii="宋体" w:hAnsi="宋体"/>
                <w:sz w:val="24"/>
              </w:rPr>
              <w:t xml:space="preserve"> = </w:t>
            </w:r>
            <w:r>
              <w:rPr>
                <w:rFonts w:hint="eastAsia" w:ascii="宋体" w:hAnsi="宋体"/>
                <w:sz w:val="24"/>
                <w:lang w:val="en-US" w:eastAsia="zh-CN"/>
              </w:rPr>
              <w:t>（磋商基准价/最后磋商报价）×30</w:t>
            </w:r>
          </w:p>
        </w:tc>
        <w:tc>
          <w:tcPr>
            <w:tcW w:w="640" w:type="dxa"/>
            <w:vAlign w:val="center"/>
          </w:tcPr>
          <w:p>
            <w:pPr>
              <w:spacing w:line="440" w:lineRule="exact"/>
              <w:ind w:left="-99" w:leftChars="-47" w:right="-78" w:rightChars="-37"/>
              <w:jc w:val="center"/>
              <w:rPr>
                <w:rFonts w:ascii="宋体" w:hAnsi="宋体" w:cs="Arial"/>
                <w:bCs/>
                <w:sz w:val="24"/>
              </w:rPr>
            </w:pPr>
            <w:r>
              <w:rPr>
                <w:rFonts w:hint="eastAsia" w:ascii="宋体" w:hAnsi="宋体"/>
                <w:bCs/>
                <w:kern w:val="10"/>
                <w:sz w:val="24"/>
                <w:lang w:val="en-US" w:eastAsia="zh-CN"/>
              </w:rPr>
              <w:t>30</w:t>
            </w:r>
            <w:r>
              <w:rPr>
                <w:rFonts w:hint="eastAsia" w:ascii="宋体" w:hAnsi="宋体"/>
                <w:bCs/>
                <w:kern w:val="1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0" w:type="dxa"/>
            <w:gridSpan w:val="3"/>
            <w:vAlign w:val="center"/>
          </w:tcPr>
          <w:p>
            <w:pPr>
              <w:spacing w:line="440" w:lineRule="exact"/>
              <w:ind w:left="-99" w:leftChars="-47" w:right="-78" w:rightChars="-37"/>
              <w:rPr>
                <w:rFonts w:hint="eastAsia" w:ascii="宋体" w:hAnsi="宋体"/>
                <w:bCs/>
                <w:kern w:val="10"/>
                <w:sz w:val="24"/>
              </w:rPr>
            </w:pPr>
            <w:r>
              <w:rPr>
                <w:rFonts w:hint="eastAsia" w:ascii="宋体" w:hAnsi="宋体"/>
                <w:b/>
                <w:bCs/>
                <w:kern w:val="10"/>
                <w:sz w:val="24"/>
              </w:rPr>
              <w:t>各有效供应商的最后综合得分＝技术因素＋商务因素＋价格因素</w:t>
            </w:r>
          </w:p>
        </w:tc>
      </w:tr>
    </w:tbl>
    <w:p>
      <w:pPr>
        <w:ind w:firstLine="838" w:firstLineChars="262"/>
        <w:rPr>
          <w:rFonts w:hint="eastAsia" w:ascii="方正仿宋_GB2312" w:hAnsi="方正仿宋_GB2312" w:eastAsia="方正仿宋_GB2312" w:cs="方正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73CCE9E-6FF8-42BA-9435-25FCF67FABEC}"/>
  </w:font>
  <w:font w:name="黑体">
    <w:panose1 w:val="02010609060101010101"/>
    <w:charset w:val="86"/>
    <w:family w:val="auto"/>
    <w:pitch w:val="default"/>
    <w:sig w:usb0="800002BF" w:usb1="38CF7CFA" w:usb2="00000016" w:usb3="00000000" w:csb0="00040001" w:csb1="00000000"/>
    <w:embedRegular r:id="rId2" w:fontKey="{2DC8C872-E6BB-4F22-8F87-50E13CD06FB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3" w:fontKey="{2448101B-DB19-4B28-A434-016C06CA4045}"/>
  </w:font>
  <w:font w:name="方正仿宋_GB2312">
    <w:panose1 w:val="02000000000000000000"/>
    <w:charset w:val="86"/>
    <w:family w:val="auto"/>
    <w:pitch w:val="default"/>
    <w:sig w:usb0="A00002BF" w:usb1="184F6CFA" w:usb2="00000012" w:usb3="00000000" w:csb0="00040001" w:csb1="00000000"/>
    <w:embedRegular r:id="rId4" w:fontKey="{AAFA9BF9-A363-404F-A7FF-02FA4EE1EC7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10890B0E"/>
    <w:rsid w:val="1802205D"/>
    <w:rsid w:val="18CC1CA7"/>
    <w:rsid w:val="190F10C7"/>
    <w:rsid w:val="194863EA"/>
    <w:rsid w:val="1B6B1610"/>
    <w:rsid w:val="20406058"/>
    <w:rsid w:val="22BA225C"/>
    <w:rsid w:val="2D263ECE"/>
    <w:rsid w:val="2DB87693"/>
    <w:rsid w:val="33D7246C"/>
    <w:rsid w:val="3CE82AD0"/>
    <w:rsid w:val="42D53314"/>
    <w:rsid w:val="48EB00C1"/>
    <w:rsid w:val="55D364EE"/>
    <w:rsid w:val="5B543B22"/>
    <w:rsid w:val="5E631F9B"/>
    <w:rsid w:val="681109E6"/>
    <w:rsid w:val="6C8924B5"/>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178</Words>
  <Characters>1017</Characters>
  <Lines>8</Lines>
  <Paragraphs>2</Paragraphs>
  <TotalTime>0</TotalTime>
  <ScaleCrop>false</ScaleCrop>
  <LinksUpToDate>false</LinksUpToDate>
  <CharactersWithSpaces>1193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dcterms:modified xsi:type="dcterms:W3CDTF">2022-03-16T03:17:36Z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FF1F7BC7C0C24A96917BABB93715158F</vt:lpwstr>
  </property>
</Properties>
</file>