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需求内容-消防报警主机更换项目</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一、项目说明</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厦门医学院附属口腔医院蔡塘院区消防控制室消防主机进行多方检查认定，该设备于2013年投入使用，已超过该设备的正常使用年限，该设备与系统已无法正常使用，且无法再次修复，为了确保消防安全，将原北京利达消防报警主机更换为性能更好的新消防报警主机设备。原消防主机的拆除与处理，根据现设备重新布局并安装就位，连接原消防主机的所有线路及系统的拆除、恢复与调试，确保各个回路上的各个消防设备正常运行。</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二、技术要求</w:t>
      </w:r>
    </w:p>
    <w:p>
      <w:pPr>
        <w:ind w:firstLine="640" w:firstLineChars="200"/>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sz w:val="32"/>
          <w:szCs w:val="32"/>
          <w:lang w:eastAsia="zh-CN"/>
        </w:rPr>
        <w:t>满足目前新规范规定一台设备最多不能超过3200个点位要求，因原有消控主机产品是北京利达，故拟采用CCCF认证LD128EⅡ-3200C及其相应的电话</w:t>
      </w:r>
      <w:bookmarkStart w:id="0" w:name="_GoBack"/>
      <w:bookmarkEnd w:id="0"/>
      <w:r>
        <w:rPr>
          <w:rFonts w:hint="eastAsia" w:ascii="方正仿宋_GB2312" w:hAnsi="方正仿宋_GB2312" w:eastAsia="方正仿宋_GB2312" w:cs="方正仿宋_GB2312"/>
          <w:sz w:val="32"/>
          <w:szCs w:val="32"/>
          <w:lang w:eastAsia="zh-CN"/>
        </w:rPr>
        <w:t>、广播主机、图形显示等设备。具体技术要求及相应标准如下：</w:t>
      </w:r>
    </w:p>
    <w:tbl>
      <w:tblPr>
        <w:tblStyle w:val="5"/>
        <w:tblW w:w="8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1570"/>
        <w:gridCol w:w="1794"/>
        <w:gridCol w:w="41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名称</w:t>
            </w:r>
          </w:p>
        </w:tc>
        <w:tc>
          <w:tcPr>
            <w:tcW w:w="1570"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控制地点</w:t>
            </w:r>
          </w:p>
        </w:tc>
        <w:tc>
          <w:tcPr>
            <w:tcW w:w="1794"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引进信号</w:t>
            </w:r>
          </w:p>
        </w:tc>
        <w:tc>
          <w:tcPr>
            <w:tcW w:w="417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kern w:val="0"/>
                <w:sz w:val="21"/>
                <w:szCs w:val="21"/>
              </w:rPr>
              <w:t>消防控制室手动直接启动消防泵功能</w:t>
            </w:r>
          </w:p>
        </w:tc>
        <w:tc>
          <w:tcPr>
            <w:tcW w:w="1570" w:type="dxa"/>
            <w:noWrap w:val="0"/>
            <w:vAlign w:val="center"/>
          </w:tcPr>
          <w:p>
            <w:pPr>
              <w:spacing w:line="240" w:lineRule="auto"/>
              <w:jc w:val="center"/>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消控室</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多线信号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rPr>
            </w:pPr>
            <w:r>
              <w:rPr>
                <w:rFonts w:hint="eastAsia" w:ascii="方正仿宋_GBK" w:hAnsi="方正仿宋_GBK" w:eastAsia="方正仿宋_GBK" w:cs="方正仿宋_GBK"/>
                <w:kern w:val="0"/>
                <w:sz w:val="21"/>
                <w:szCs w:val="21"/>
              </w:rPr>
              <w:t>消防控制室内的消防联动控制器应直接手动控制消火栓泵的启动、停止(GB50116-2013 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kern w:val="0"/>
                <w:sz w:val="21"/>
                <w:szCs w:val="21"/>
              </w:rPr>
            </w:pPr>
            <w:r>
              <w:rPr>
                <w:rFonts w:hint="eastAsia" w:ascii="方正仿宋_GBK" w:hAnsi="方正仿宋_GBK" w:eastAsia="方正仿宋_GBK" w:cs="方正仿宋_GBK"/>
                <w:kern w:val="0"/>
                <w:sz w:val="21"/>
                <w:szCs w:val="21"/>
              </w:rPr>
              <w:t>消防水池水位显示装置</w:t>
            </w:r>
          </w:p>
        </w:tc>
        <w:tc>
          <w:tcPr>
            <w:tcW w:w="1570" w:type="dxa"/>
            <w:noWrap w:val="0"/>
            <w:vAlign w:val="center"/>
          </w:tcPr>
          <w:p>
            <w:pPr>
              <w:spacing w:line="240" w:lineRule="auto"/>
              <w:jc w:val="center"/>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消控室</w:t>
            </w:r>
          </w:p>
          <w:p>
            <w:pPr>
              <w:spacing w:line="240" w:lineRule="auto"/>
              <w:jc w:val="center"/>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水泵房</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探测信号</w:t>
            </w:r>
          </w:p>
        </w:tc>
        <w:tc>
          <w:tcPr>
            <w:tcW w:w="4179" w:type="dxa"/>
            <w:noWrap w:val="0"/>
            <w:vAlign w:val="center"/>
          </w:tcPr>
          <w:p>
            <w:pPr>
              <w:spacing w:line="240" w:lineRule="auto"/>
              <w:jc w:val="left"/>
              <w:rPr>
                <w:rFonts w:hint="eastAsia" w:ascii="方正仿宋_GBK" w:hAnsi="方正仿宋_GBK" w:eastAsia="方正仿宋_GBK" w:cs="方正仿宋_GBK"/>
                <w:kern w:val="0"/>
                <w:sz w:val="21"/>
                <w:szCs w:val="21"/>
              </w:rPr>
            </w:pPr>
            <w:r>
              <w:rPr>
                <w:rFonts w:hint="eastAsia" w:ascii="方正仿宋_GBK" w:hAnsi="方正仿宋_GBK" w:eastAsia="方正仿宋_GBK" w:cs="方正仿宋_GBK"/>
                <w:kern w:val="0"/>
                <w:sz w:val="21"/>
                <w:szCs w:val="21"/>
              </w:rPr>
              <w:t>应设置就地水位显示装置，并应在消防控制中心或值班室等地点设置显示消防水池水位的装置，同时应有最高和最低报警水位(GB50974-2014 4.3.9.2）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消火栓加压泵</w:t>
            </w:r>
          </w:p>
        </w:tc>
        <w:tc>
          <w:tcPr>
            <w:tcW w:w="1570" w:type="dxa"/>
            <w:noWrap w:val="0"/>
            <w:vAlign w:val="center"/>
          </w:tcPr>
          <w:p>
            <w:pPr>
              <w:spacing w:line="240" w:lineRule="auto"/>
              <w:jc w:val="left"/>
              <w:rPr>
                <w:rFonts w:hint="eastAsia" w:ascii="方正仿宋_GBK" w:hAnsi="方正仿宋_GBK" w:eastAsia="方正仿宋_GBK" w:cs="方正仿宋_GBK"/>
                <w:kern w:val="2"/>
                <w:sz w:val="21"/>
                <w:szCs w:val="21"/>
                <w:vertAlign w:val="baseline"/>
                <w:lang w:val="en-US" w:eastAsia="zh-CN" w:bidi="ar-SA"/>
              </w:rPr>
            </w:pPr>
            <w:r>
              <w:rPr>
                <w:rFonts w:hint="eastAsia" w:ascii="方正仿宋_GBK" w:hAnsi="方正仿宋_GBK" w:eastAsia="方正仿宋_GBK" w:cs="方正仿宋_GBK"/>
                <w:sz w:val="21"/>
                <w:szCs w:val="21"/>
              </w:rPr>
              <w:t>水泵房控制室</w:t>
            </w:r>
          </w:p>
        </w:tc>
        <w:tc>
          <w:tcPr>
            <w:tcW w:w="1794" w:type="dxa"/>
            <w:noWrap w:val="0"/>
            <w:vAlign w:val="center"/>
          </w:tcPr>
          <w:p>
            <w:pPr>
              <w:spacing w:line="240" w:lineRule="auto"/>
              <w:jc w:val="both"/>
              <w:rPr>
                <w:rFonts w:hint="eastAsia" w:ascii="方正仿宋_GBK" w:hAnsi="方正仿宋_GBK" w:eastAsia="方正仿宋_GBK" w:cs="方正仿宋_GBK"/>
                <w:sz w:val="21"/>
                <w:szCs w:val="21"/>
              </w:rPr>
            </w:pPr>
          </w:p>
          <w:p>
            <w:pPr>
              <w:spacing w:line="240" w:lineRule="auto"/>
              <w:jc w:val="both"/>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压力开关动作</w:t>
            </w:r>
          </w:p>
          <w:p>
            <w:pPr>
              <w:spacing w:line="240" w:lineRule="auto"/>
              <w:jc w:val="center"/>
              <w:rPr>
                <w:rFonts w:hint="eastAsia" w:ascii="方正仿宋_GBK" w:hAnsi="方正仿宋_GBK" w:eastAsia="方正仿宋_GBK" w:cs="方正仿宋_GBK"/>
                <w:kern w:val="2"/>
                <w:sz w:val="21"/>
                <w:szCs w:val="21"/>
                <w:vertAlign w:val="baseline"/>
                <w:lang w:val="en-US" w:eastAsia="zh-CN" w:bidi="ar-SA"/>
              </w:rPr>
            </w:pPr>
          </w:p>
        </w:tc>
        <w:tc>
          <w:tcPr>
            <w:tcW w:w="4179" w:type="dxa"/>
            <w:noWrap w:val="0"/>
            <w:vAlign w:val="center"/>
          </w:tcPr>
          <w:p>
            <w:pPr>
              <w:spacing w:line="240" w:lineRule="auto"/>
              <w:jc w:val="left"/>
              <w:rPr>
                <w:rFonts w:hint="eastAsia" w:ascii="方正仿宋_GBK" w:hAnsi="方正仿宋_GBK" w:eastAsia="方正仿宋_GBK" w:cs="方正仿宋_GBK"/>
                <w:sz w:val="21"/>
                <w:szCs w:val="21"/>
                <w:vertAlign w:val="baseline"/>
                <w:lang w:val="en-US" w:eastAsia="zh-CN"/>
              </w:rPr>
            </w:pPr>
            <w:r>
              <w:rPr>
                <w:rFonts w:hint="eastAsia" w:ascii="方正仿宋_GBK" w:hAnsi="方正仿宋_GBK" w:eastAsia="方正仿宋_GBK" w:cs="方正仿宋_GBK"/>
                <w:kern w:val="0"/>
                <w:sz w:val="21"/>
                <w:szCs w:val="21"/>
              </w:rPr>
              <w:t>4.3.1 消火栓系统的联动控制设计联动控制方式，应由消火栓系统出水干管上设置的低压压力开</w:t>
            </w:r>
            <w:r>
              <w:rPr>
                <w:rFonts w:hint="eastAsia" w:ascii="方正仿宋_GBK" w:hAnsi="方正仿宋_GBK" w:eastAsia="方正仿宋_GBK" w:cs="方正仿宋_GBK"/>
                <w:i w:val="0"/>
                <w:iCs w:val="0"/>
                <w:caps w:val="0"/>
                <w:color w:val="000000"/>
                <w:spacing w:val="0"/>
                <w:sz w:val="21"/>
                <w:szCs w:val="21"/>
                <w:shd w:val="clear" w:color="auto" w:fill="FFFFFF"/>
              </w:rPr>
              <w:t>关</w:t>
            </w:r>
            <w:r>
              <w:rPr>
                <w:rFonts w:hint="eastAsia" w:ascii="方正仿宋_GBK" w:hAnsi="方正仿宋_GBK" w:eastAsia="方正仿宋_GBK" w:cs="方正仿宋_GBK"/>
                <w:kern w:val="0"/>
                <w:sz w:val="21"/>
                <w:szCs w:val="21"/>
              </w:rPr>
              <w:t>(GB50974-201</w:t>
            </w:r>
            <w:r>
              <w:rPr>
                <w:rFonts w:hint="eastAsia" w:ascii="方正仿宋_GBK" w:hAnsi="方正仿宋_GBK" w:eastAsia="方正仿宋_GBK" w:cs="方正仿宋_GBK"/>
                <w:kern w:val="0"/>
                <w:sz w:val="21"/>
                <w:szCs w:val="21"/>
                <w:lang w:val="en-US" w:eastAsia="zh-CN"/>
              </w:rPr>
              <w:t>3 4.3.1）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rPr>
            </w:pPr>
            <w:r>
              <w:rPr>
                <w:rFonts w:hint="eastAsia" w:ascii="方正仿宋_GBK" w:hAnsi="方正仿宋_GBK" w:eastAsia="方正仿宋_GBK" w:cs="方正仿宋_GBK"/>
                <w:kern w:val="0"/>
                <w:sz w:val="21"/>
                <w:szCs w:val="21"/>
              </w:rPr>
              <w:t>稳压泵技术性能</w:t>
            </w:r>
          </w:p>
        </w:tc>
        <w:tc>
          <w:tcPr>
            <w:tcW w:w="1570" w:type="dxa"/>
            <w:noWrap w:val="0"/>
            <w:vAlign w:val="center"/>
          </w:tcPr>
          <w:p>
            <w:pPr>
              <w:spacing w:line="240" w:lineRule="auto"/>
              <w:jc w:val="center"/>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屋面</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总线接收</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rPr>
            </w:pPr>
            <w:r>
              <w:rPr>
                <w:rFonts w:hint="eastAsia" w:ascii="方正仿宋_GBK" w:hAnsi="方正仿宋_GBK" w:eastAsia="方正仿宋_GBK" w:cs="方正仿宋_GBK"/>
                <w:kern w:val="0"/>
                <w:sz w:val="21"/>
                <w:szCs w:val="21"/>
              </w:rPr>
              <w:t>稳压泵的设计压力应满足系统自动启动和管网充满水的要求，启动运行应正常,启泵与停泵压力应符合设定值,压力表显示应正常(GB50974-2014 5.3.3.1  GA503-2004 4.4.3.2)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kern w:val="0"/>
                <w:sz w:val="21"/>
                <w:szCs w:val="21"/>
              </w:rPr>
              <w:t>湿式报警阀压力开关联动启泵功能</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sz w:val="21"/>
                <w:szCs w:val="21"/>
              </w:rPr>
              <w:t>水泵房控制室</w:t>
            </w:r>
          </w:p>
        </w:tc>
        <w:tc>
          <w:tcPr>
            <w:tcW w:w="1794" w:type="dxa"/>
            <w:noWrap w:val="0"/>
            <w:vAlign w:val="center"/>
          </w:tcPr>
          <w:p>
            <w:pPr>
              <w:spacing w:line="240" w:lineRule="auto"/>
              <w:jc w:val="both"/>
              <w:rPr>
                <w:rFonts w:hint="eastAsia" w:ascii="方正仿宋_GBK" w:hAnsi="方正仿宋_GBK" w:eastAsia="方正仿宋_GBK" w:cs="方正仿宋_GBK"/>
                <w:sz w:val="21"/>
                <w:szCs w:val="21"/>
              </w:rPr>
            </w:pPr>
          </w:p>
          <w:p>
            <w:pPr>
              <w:spacing w:line="240" w:lineRule="auto"/>
              <w:jc w:val="both"/>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压力开关动作</w:t>
            </w:r>
          </w:p>
          <w:p>
            <w:pPr>
              <w:spacing w:line="240" w:lineRule="auto"/>
              <w:jc w:val="center"/>
              <w:rPr>
                <w:rFonts w:hint="eastAsia" w:ascii="方正仿宋_GBK" w:hAnsi="方正仿宋_GBK" w:eastAsia="方正仿宋_GBK" w:cs="方正仿宋_GBK"/>
                <w:sz w:val="21"/>
                <w:szCs w:val="21"/>
                <w:vertAlign w:val="baseline"/>
                <w:lang w:val="en-US"/>
              </w:rPr>
            </w:pPr>
          </w:p>
        </w:tc>
        <w:tc>
          <w:tcPr>
            <w:tcW w:w="4179" w:type="dxa"/>
            <w:noWrap w:val="0"/>
            <w:vAlign w:val="center"/>
          </w:tcPr>
          <w:p>
            <w:pPr>
              <w:spacing w:line="240" w:lineRule="auto"/>
              <w:jc w:val="left"/>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kern w:val="0"/>
                <w:sz w:val="21"/>
                <w:szCs w:val="21"/>
              </w:rPr>
              <w:t>自动喷水灭火系统应由湿式报警阀压力开关的动作信号直接控制启动喷淋消防泵,联动控制不应受消防联动控制器手、自动状态的影响(GB50116-2013 4.2.1.1 GB50084-2001 11.0.1)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kern w:val="0"/>
                <w:sz w:val="21"/>
                <w:szCs w:val="21"/>
              </w:rPr>
              <w:t>气体灭火控制器</w:t>
            </w:r>
          </w:p>
        </w:tc>
        <w:tc>
          <w:tcPr>
            <w:tcW w:w="1570" w:type="dxa"/>
            <w:noWrap w:val="0"/>
            <w:vAlign w:val="center"/>
          </w:tcPr>
          <w:p>
            <w:pPr>
              <w:spacing w:line="240" w:lineRule="auto"/>
              <w:jc w:val="center"/>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lang w:eastAsia="zh-CN"/>
              </w:rPr>
              <w:t>消控室</w:t>
            </w:r>
          </w:p>
        </w:tc>
        <w:tc>
          <w:tcPr>
            <w:tcW w:w="1794" w:type="dxa"/>
            <w:noWrap w:val="0"/>
            <w:vAlign w:val="center"/>
          </w:tcPr>
          <w:p>
            <w:pPr>
              <w:spacing w:line="240" w:lineRule="auto"/>
              <w:jc w:val="left"/>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sz w:val="21"/>
                <w:szCs w:val="21"/>
                <w:lang w:eastAsia="zh-CN"/>
              </w:rPr>
              <w:t>多线信号</w:t>
            </w:r>
          </w:p>
        </w:tc>
        <w:tc>
          <w:tcPr>
            <w:tcW w:w="4179" w:type="dxa"/>
            <w:noWrap w:val="0"/>
            <w:vAlign w:val="center"/>
          </w:tcPr>
          <w:p>
            <w:pPr>
              <w:spacing w:line="240" w:lineRule="auto"/>
              <w:jc w:val="center"/>
              <w:rPr>
                <w:rFonts w:hint="eastAsia" w:ascii="方正仿宋_GBK" w:hAnsi="方正仿宋_GBK" w:eastAsia="方正仿宋_GBK" w:cs="方正仿宋_GBK"/>
                <w:sz w:val="21"/>
                <w:szCs w:val="21"/>
                <w:vertAlign w:val="baseline"/>
                <w:lang w:val="en-US"/>
              </w:rPr>
            </w:pPr>
            <w:r>
              <w:rPr>
                <w:rFonts w:hint="eastAsia" w:ascii="方正仿宋_GBK" w:hAnsi="方正仿宋_GBK" w:eastAsia="方正仿宋_GBK" w:cs="方正仿宋_GBK"/>
                <w:kern w:val="0"/>
                <w:sz w:val="21"/>
                <w:szCs w:val="21"/>
              </w:rPr>
              <w:t>应能控制器连接的气体灭火设备和相关设备，接收启动控制信号后，应能按预制逻辑完成相应的控制功能，并发出声、光信号(GB16806-2005 4.3.2 GB50166-2007 4.19)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电气火灾监控系统</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消控室</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监控器应能接收探测器的报警信号并在30s内发出声、光报警声信号，指示报警部位，记录报警时间(GB14287.1-2005 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防排烟设施</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消防控制室</w:t>
            </w:r>
          </w:p>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就地控制钮</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排烟口排烟风速不能为0m/s,不宜大于10m/s(GB50045-95 8.1.5.3 GA503-2004 4.10.4.2 GB50016-2006 9.4.6.6)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正压送风</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疏散楼梯</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eastAsia="zh-CN"/>
              </w:rPr>
              <w:t>防烟楼梯间余压值应为40Pa至50Pa(GB50045-95 8.3.7.1 GA503-2004 4.9.4.3 GB50016-2006 9.3.3)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应急照明</w:t>
            </w:r>
          </w:p>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疏散标志</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消防控制室</w:t>
            </w:r>
          </w:p>
          <w:p>
            <w:pPr>
              <w:spacing w:line="240" w:lineRule="auto"/>
              <w:jc w:val="left"/>
              <w:rPr>
                <w:rFonts w:hint="eastAsia" w:ascii="方正仿宋_GBK" w:hAnsi="方正仿宋_GBK" w:eastAsia="方正仿宋_GBK" w:cs="方正仿宋_GBK"/>
                <w:sz w:val="21"/>
                <w:szCs w:val="21"/>
                <w:lang w:eastAsia="zh-CN"/>
              </w:rPr>
            </w:pP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当确认火灾后,由发生火灾的报警区域开始,顺序启动全楼疏散通道的消防应急照明和疏散指示系统,系统全部投入应急状态的启动时间不应大于5s(GB50116-2013 4.9.2)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应急广播</w:t>
            </w:r>
          </w:p>
        </w:tc>
        <w:tc>
          <w:tcPr>
            <w:tcW w:w="1570"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消防控制室</w:t>
            </w:r>
          </w:p>
        </w:tc>
        <w:tc>
          <w:tcPr>
            <w:tcW w:w="1794"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总线信号</w:t>
            </w:r>
          </w:p>
        </w:tc>
        <w:tc>
          <w:tcPr>
            <w:tcW w:w="4179" w:type="dxa"/>
            <w:noWrap w:val="0"/>
            <w:vAlign w:val="center"/>
          </w:tcPr>
          <w:p>
            <w:pPr>
              <w:spacing w:line="240" w:lineRule="auto"/>
              <w:jc w:val="left"/>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z w:val="21"/>
                <w:szCs w:val="21"/>
                <w:lang w:eastAsia="zh-CN"/>
              </w:rPr>
              <w:t>消防应急广播与普通广播或背景音乐广播合用时,应强制切入消防应急广播(GB50116-2013 4.8.12)</w:t>
            </w:r>
          </w:p>
        </w:tc>
      </w:tr>
    </w:tbl>
    <w:p>
      <w:pPr>
        <w:ind w:firstLine="640" w:firstLineChars="200"/>
        <w:rPr>
          <w:rFonts w:hint="eastAsia" w:ascii="方正仿宋_GB2312" w:hAnsi="方正仿宋_GB2312" w:eastAsia="方正仿宋_GB2312" w:cs="方正仿宋_GB2312"/>
          <w:sz w:val="32"/>
          <w:szCs w:val="32"/>
          <w:lang w:eastAsia="zh-CN"/>
        </w:rPr>
      </w:pPr>
    </w:p>
    <w:p>
      <w:pPr>
        <w:rPr>
          <w:rFonts w:hint="eastAsia" w:ascii="黑体" w:hAnsi="黑体" w:eastAsia="黑体" w:cs="黑体"/>
          <w:sz w:val="32"/>
          <w:szCs w:val="32"/>
          <w:lang w:val="en-US" w:eastAsia="zh-CN"/>
        </w:rPr>
      </w:pPr>
      <w:r>
        <w:rPr>
          <w:rFonts w:hint="eastAsia" w:ascii="黑体" w:hAnsi="黑体" w:eastAsia="黑体" w:cs="黑体"/>
          <w:sz w:val="32"/>
          <w:szCs w:val="32"/>
          <w:lang w:eastAsia="zh-CN"/>
        </w:rPr>
        <w:t>三、配置清</w:t>
      </w:r>
      <w:r>
        <w:rPr>
          <w:rFonts w:hint="eastAsia" w:ascii="黑体" w:hAnsi="黑体" w:eastAsia="黑体" w:cs="黑体"/>
          <w:sz w:val="32"/>
          <w:szCs w:val="32"/>
          <w:lang w:val="en-US" w:eastAsia="zh-CN"/>
        </w:rPr>
        <w:t>单</w:t>
      </w:r>
    </w:p>
    <w:tbl>
      <w:tblPr>
        <w:tblStyle w:val="4"/>
        <w:tblW w:w="8425" w:type="dxa"/>
        <w:tblInd w:w="96" w:type="dxa"/>
        <w:tblLayout w:type="autofit"/>
        <w:tblCellMar>
          <w:top w:w="0" w:type="dxa"/>
          <w:left w:w="108" w:type="dxa"/>
          <w:bottom w:w="0" w:type="dxa"/>
          <w:right w:w="108" w:type="dxa"/>
        </w:tblCellMar>
      </w:tblPr>
      <w:tblGrid>
        <w:gridCol w:w="3853"/>
        <w:gridCol w:w="1393"/>
        <w:gridCol w:w="3179"/>
      </w:tblGrid>
      <w:tr>
        <w:tblPrEx>
          <w:tblCellMar>
            <w:top w:w="0" w:type="dxa"/>
            <w:left w:w="108" w:type="dxa"/>
            <w:bottom w:w="0" w:type="dxa"/>
            <w:right w:w="108" w:type="dxa"/>
          </w:tblCellMar>
        </w:tblPrEx>
        <w:trPr>
          <w:trHeight w:val="89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产品名称</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eastAsia="zh-CN"/>
              </w:rPr>
            </w:pPr>
            <w:r>
              <w:rPr>
                <w:rFonts w:hint="eastAsia" w:ascii="宋体" w:hAnsi="宋体" w:eastAsia="宋体" w:cs="宋体"/>
                <w:i w:val="0"/>
                <w:iCs w:val="0"/>
                <w:color w:val="000000"/>
                <w:sz w:val="28"/>
                <w:szCs w:val="28"/>
                <w:u w:val="none"/>
                <w:lang w:eastAsia="zh-CN"/>
              </w:rPr>
              <w:t>数量</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eastAsia="zh-CN"/>
              </w:rPr>
            </w:pPr>
            <w:r>
              <w:rPr>
                <w:rFonts w:hint="eastAsia" w:ascii="宋体" w:hAnsi="宋体" w:eastAsia="宋体" w:cs="宋体"/>
                <w:i w:val="0"/>
                <w:iCs w:val="0"/>
                <w:color w:val="000000"/>
                <w:sz w:val="28"/>
                <w:szCs w:val="28"/>
                <w:u w:val="none"/>
                <w:lang w:eastAsia="zh-CN"/>
              </w:rPr>
              <w:t>备注</w:t>
            </w:r>
          </w:p>
        </w:tc>
      </w:tr>
      <w:tr>
        <w:tblPrEx>
          <w:tblCellMar>
            <w:top w:w="0" w:type="dxa"/>
            <w:left w:w="108" w:type="dxa"/>
            <w:bottom w:w="0" w:type="dxa"/>
            <w:right w:w="108" w:type="dxa"/>
          </w:tblCellMar>
        </w:tblPrEx>
        <w:trPr>
          <w:trHeight w:val="89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火灾报警控制器(联动型套)               CCCF认证</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LD128EⅡ-3200C</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联动控制盘套</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LD9203EN-8C</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总线消防电话主机(可容99路)套</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HY5711B</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广播功放·录放一体机（500W）</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YJG4650A</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主机电源（25A输出)</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LD5801EN(25A)</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备用电源</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DC24V，38Ah</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标准立柜套</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LD5900EL(B)</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气体控制主机套</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8"/>
                <w:szCs w:val="28"/>
                <w:u w:val="none"/>
                <w:lang w:val="en-US" w:eastAsia="zh-CN"/>
              </w:rPr>
            </w:pPr>
            <w:r>
              <w:rPr>
                <w:rFonts w:hint="eastAsia" w:ascii="宋体" w:hAnsi="宋体" w:eastAsia="宋体" w:cs="宋体"/>
                <w:i w:val="0"/>
                <w:iCs w:val="0"/>
                <w:color w:val="000000"/>
                <w:sz w:val="28"/>
                <w:szCs w:val="28"/>
                <w:u w:val="none"/>
                <w:lang w:val="en-US" w:eastAsia="zh-CN"/>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LD5503EN</w:t>
            </w:r>
          </w:p>
          <w:p>
            <w:pPr>
              <w:keepNext w:val="0"/>
              <w:keepLines w:val="0"/>
              <w:widowControl/>
              <w:suppressLineNumbers w:val="0"/>
              <w:jc w:val="center"/>
              <w:textAlignment w:val="center"/>
              <w:rPr>
                <w:rFonts w:hint="eastAsia" w:ascii="宋体" w:hAnsi="宋体" w:cs="宋体"/>
                <w:i w:val="0"/>
                <w:iCs w:val="0"/>
                <w:color w:val="000000"/>
                <w:sz w:val="28"/>
                <w:szCs w:val="28"/>
                <w:u w:val="none"/>
                <w:lang w:eastAsia="zh-CN"/>
              </w:rPr>
            </w:pPr>
            <w:r>
              <w:rPr>
                <w:rFonts w:hint="eastAsia" w:ascii="宋体" w:hAnsi="宋体" w:cs="宋体"/>
                <w:i w:val="0"/>
                <w:iCs w:val="0"/>
                <w:color w:val="000000"/>
                <w:sz w:val="28"/>
                <w:szCs w:val="28"/>
                <w:u w:val="none"/>
                <w:lang w:eastAsia="zh-CN"/>
              </w:rPr>
              <w:t>需要重新布线</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eastAsia="宋体" w:cs="宋体"/>
                <w:i w:val="0"/>
                <w:iCs w:val="0"/>
                <w:color w:val="000000"/>
                <w:kern w:val="0"/>
                <w:sz w:val="28"/>
                <w:szCs w:val="28"/>
                <w:u w:val="none"/>
                <w:shd w:val="clear" w:color="auto" w:fill="auto"/>
                <w:lang w:val="en-US" w:eastAsia="zh-CN" w:bidi="ar"/>
              </w:rPr>
              <w:t>电气火灾监控</w:t>
            </w:r>
            <w:r>
              <w:rPr>
                <w:rFonts w:hint="eastAsia" w:ascii="宋体" w:hAnsi="宋体" w:cs="宋体"/>
                <w:i w:val="0"/>
                <w:iCs w:val="0"/>
                <w:color w:val="000000"/>
                <w:kern w:val="0"/>
                <w:sz w:val="28"/>
                <w:szCs w:val="28"/>
                <w:u w:val="none"/>
                <w:shd w:val="clear" w:color="auto" w:fill="auto"/>
                <w:lang w:val="en-US" w:eastAsia="zh-CN" w:bidi="ar"/>
              </w:rPr>
              <w:t>项</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eastAsia="宋体" w:cs="宋体"/>
                <w:i w:val="0"/>
                <w:iCs w:val="0"/>
                <w:color w:val="000000"/>
                <w:kern w:val="0"/>
                <w:sz w:val="28"/>
                <w:szCs w:val="28"/>
                <w:u w:val="none"/>
                <w:shd w:val="clear" w:color="auto" w:fill="auto"/>
                <w:lang w:val="en-US" w:eastAsia="zh-CN" w:bidi="ar"/>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cs="宋体"/>
                <w:i w:val="0"/>
                <w:iCs w:val="0"/>
                <w:color w:val="000000"/>
                <w:kern w:val="0"/>
                <w:sz w:val="28"/>
                <w:szCs w:val="28"/>
                <w:u w:val="none"/>
                <w:shd w:val="clear" w:color="auto" w:fill="auto"/>
                <w:lang w:val="en-US" w:eastAsia="zh-CN" w:bidi="ar"/>
              </w:rPr>
              <w:t>LDT9009EN</w:t>
            </w:r>
          </w:p>
        </w:tc>
      </w:tr>
      <w:tr>
        <w:tblPrEx>
          <w:tblCellMar>
            <w:top w:w="0" w:type="dxa"/>
            <w:left w:w="108" w:type="dxa"/>
            <w:bottom w:w="0" w:type="dxa"/>
            <w:right w:w="108" w:type="dxa"/>
          </w:tblCellMar>
        </w:tblPrEx>
        <w:trPr>
          <w:trHeight w:val="36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eastAsia="宋体" w:cs="宋体"/>
                <w:i w:val="0"/>
                <w:iCs w:val="0"/>
                <w:color w:val="000000"/>
                <w:kern w:val="0"/>
                <w:sz w:val="28"/>
                <w:szCs w:val="28"/>
                <w:u w:val="none"/>
                <w:shd w:val="clear" w:color="auto" w:fill="auto"/>
                <w:lang w:val="en-US" w:eastAsia="zh-CN" w:bidi="ar"/>
              </w:rPr>
              <w:t>排烟系统维修项</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cs="宋体"/>
                <w:i w:val="0"/>
                <w:iCs w:val="0"/>
                <w:color w:val="000000"/>
                <w:kern w:val="0"/>
                <w:sz w:val="28"/>
                <w:szCs w:val="28"/>
                <w:u w:val="none"/>
                <w:shd w:val="clear" w:color="auto" w:fill="auto"/>
                <w:lang w:val="en-US" w:eastAsia="zh-CN" w:bidi="ar"/>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eastAsia="宋体" w:cs="宋体"/>
                <w:i w:val="0"/>
                <w:iCs w:val="0"/>
                <w:color w:val="000000"/>
                <w:kern w:val="0"/>
                <w:sz w:val="28"/>
                <w:szCs w:val="28"/>
                <w:u w:val="none"/>
                <w:shd w:val="clear" w:color="auto" w:fill="auto"/>
                <w:lang w:val="en-US" w:eastAsia="zh-CN" w:bidi="ar"/>
              </w:rPr>
              <w:t>1000*500常闭排烟口6个</w:t>
            </w:r>
          </w:p>
        </w:tc>
      </w:tr>
      <w:tr>
        <w:tblPrEx>
          <w:tblCellMar>
            <w:top w:w="0" w:type="dxa"/>
            <w:left w:w="108" w:type="dxa"/>
            <w:bottom w:w="0" w:type="dxa"/>
            <w:right w:w="108" w:type="dxa"/>
          </w:tblCellMar>
        </w:tblPrEx>
        <w:trPr>
          <w:trHeight w:val="410" w:hRule="atLeast"/>
        </w:trPr>
        <w:tc>
          <w:tcPr>
            <w:tcW w:w="385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8"/>
                <w:szCs w:val="28"/>
                <w:u w:val="none"/>
                <w:shd w:val="clear" w:color="auto" w:fill="auto"/>
                <w:lang w:val="en-US" w:eastAsia="zh-CN" w:bidi="ar"/>
              </w:rPr>
            </w:pPr>
            <w:r>
              <w:rPr>
                <w:rFonts w:hint="eastAsia" w:ascii="宋体" w:hAnsi="宋体" w:eastAsia="宋体" w:cs="宋体"/>
                <w:i w:val="0"/>
                <w:iCs w:val="0"/>
                <w:color w:val="000000"/>
                <w:kern w:val="0"/>
                <w:sz w:val="28"/>
                <w:szCs w:val="28"/>
                <w:u w:val="none"/>
                <w:shd w:val="clear" w:color="auto" w:fill="auto"/>
                <w:lang w:val="en-US" w:eastAsia="zh-CN" w:bidi="ar"/>
              </w:rPr>
              <w:t>正压送风口改造项</w:t>
            </w:r>
          </w:p>
        </w:tc>
        <w:tc>
          <w:tcPr>
            <w:tcW w:w="1393"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8"/>
                <w:szCs w:val="28"/>
                <w:u w:val="none"/>
                <w:shd w:val="clear" w:color="auto" w:fill="auto"/>
                <w:lang w:val="en-US" w:eastAsia="zh-CN" w:bidi="ar"/>
              </w:rPr>
            </w:pPr>
            <w:r>
              <w:rPr>
                <w:rFonts w:hint="eastAsia" w:ascii="宋体" w:hAnsi="宋体" w:cs="宋体"/>
                <w:i w:val="0"/>
                <w:iCs w:val="0"/>
                <w:color w:val="000000"/>
                <w:kern w:val="0"/>
                <w:sz w:val="28"/>
                <w:szCs w:val="28"/>
                <w:u w:val="none"/>
                <w:shd w:val="clear" w:color="auto" w:fill="auto"/>
                <w:lang w:val="en-US" w:eastAsia="zh-CN" w:bidi="ar"/>
              </w:rPr>
              <w:t>1</w:t>
            </w:r>
          </w:p>
        </w:tc>
        <w:tc>
          <w:tcPr>
            <w:tcW w:w="3179"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keepNext w:val="0"/>
              <w:keepLines w:val="0"/>
              <w:widowControl/>
              <w:suppressLineNumbers w:val="0"/>
              <w:jc w:val="center"/>
              <w:textAlignment w:val="center"/>
              <w:rPr>
                <w:rFonts w:hint="eastAsia" w:ascii="宋体" w:hAnsi="宋体" w:cs="宋体"/>
                <w:i w:val="0"/>
                <w:iCs w:val="0"/>
                <w:color w:val="000000"/>
                <w:kern w:val="0"/>
                <w:sz w:val="28"/>
                <w:szCs w:val="28"/>
                <w:u w:val="none"/>
                <w:shd w:val="clear" w:color="auto" w:fill="auto"/>
                <w:lang w:val="en-US" w:eastAsia="zh-CN" w:bidi="ar"/>
              </w:rPr>
            </w:pPr>
            <w:r>
              <w:rPr>
                <w:rFonts w:hint="eastAsia" w:ascii="宋体" w:hAnsi="宋体" w:cs="宋体"/>
                <w:i w:val="0"/>
                <w:iCs w:val="0"/>
                <w:color w:val="000000"/>
                <w:kern w:val="0"/>
                <w:sz w:val="28"/>
                <w:szCs w:val="28"/>
                <w:u w:val="none"/>
                <w:shd w:val="clear" w:color="auto" w:fill="auto"/>
                <w:lang w:val="en-US" w:eastAsia="zh-CN" w:bidi="ar"/>
              </w:rPr>
              <w:t>1000*400自垂百叶8套</w:t>
            </w:r>
          </w:p>
          <w:p>
            <w:pPr>
              <w:keepNext w:val="0"/>
              <w:keepLines w:val="0"/>
              <w:widowControl/>
              <w:suppressLineNumbers w:val="0"/>
              <w:jc w:val="center"/>
              <w:textAlignment w:val="center"/>
              <w:rPr>
                <w:rFonts w:hint="default" w:ascii="宋体" w:hAnsi="宋体" w:cs="宋体"/>
                <w:i w:val="0"/>
                <w:iCs w:val="0"/>
                <w:color w:val="000000"/>
                <w:kern w:val="0"/>
                <w:sz w:val="28"/>
                <w:szCs w:val="28"/>
                <w:u w:val="none"/>
                <w:shd w:val="clear" w:color="auto" w:fill="auto"/>
                <w:lang w:val="en-US" w:eastAsia="zh-CN" w:bidi="ar"/>
              </w:rPr>
            </w:pPr>
            <w:r>
              <w:rPr>
                <w:rFonts w:hint="eastAsia" w:ascii="宋体" w:hAnsi="宋体" w:cs="宋体"/>
                <w:i w:val="0"/>
                <w:iCs w:val="0"/>
                <w:color w:val="000000"/>
                <w:kern w:val="0"/>
                <w:sz w:val="28"/>
                <w:szCs w:val="28"/>
                <w:u w:val="none"/>
                <w:shd w:val="clear" w:color="auto" w:fill="auto"/>
                <w:lang w:val="en-US" w:eastAsia="zh-CN" w:bidi="ar"/>
              </w:rPr>
              <w:t>1000*400常闭送风口10套</w:t>
            </w:r>
          </w:p>
        </w:tc>
      </w:tr>
    </w:tbl>
    <w:p>
      <w:pPr>
        <w:numPr>
          <w:ilvl w:val="0"/>
          <w:numId w:val="0"/>
        </w:numPr>
        <w:ind w:firstLine="640" w:firstLineChars="200"/>
        <w:rPr>
          <w:rFonts w:hint="eastAsia" w:ascii="方正仿宋_GB2312" w:hAnsi="方正仿宋_GB2312" w:eastAsia="方正仿宋_GB2312" w:cs="方正仿宋_GB2312"/>
          <w:sz w:val="32"/>
          <w:szCs w:val="32"/>
          <w:lang w:val="en-US" w:eastAsia="zh-CN"/>
        </w:rPr>
      </w:pPr>
    </w:p>
    <w:p>
      <w:pPr>
        <w:rPr>
          <w:rFonts w:hint="eastAsia" w:ascii="黑体" w:hAnsi="黑体" w:eastAsia="黑体" w:cs="黑体"/>
          <w:sz w:val="32"/>
          <w:szCs w:val="32"/>
          <w:lang w:eastAsia="zh-CN"/>
        </w:rPr>
      </w:pPr>
      <w:r>
        <w:rPr>
          <w:rFonts w:hint="eastAsia" w:ascii="黑体" w:hAnsi="黑体" w:eastAsia="黑体" w:cs="黑体"/>
          <w:sz w:val="32"/>
          <w:szCs w:val="32"/>
          <w:lang w:eastAsia="zh-CN"/>
        </w:rPr>
        <w:t>四、售后服务方案</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（3）本次报价的设备整机质保期至少为</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年，自验收合格之日起计算，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4小时内响应。如遇与所供产品有关的问题无法远程解决的，在事件确定后48小时内赶到现场提供服务。48小时内未解决的成交供应商应提供详细的应急解决方案。因成交供应商工作延误，造成采购人损失的，成交供应商应负赔偿责任。</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t>五、培训要求</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rPr>
          <w:rFonts w:hint="default" w:ascii="方正仿宋_GB2312" w:hAnsi="方正仿宋_GB2312" w:eastAsia="方正仿宋_GB2312" w:cs="方正仿宋_GB2312"/>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413251-1E9F-40C5-8731-D7D4F9C0908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B2000C5-33DA-47A3-A83B-96970FF02EBB}"/>
  </w:font>
  <w:font w:name="方正小标宋简体">
    <w:panose1 w:val="03000509000000000000"/>
    <w:charset w:val="86"/>
    <w:family w:val="auto"/>
    <w:pitch w:val="default"/>
    <w:sig w:usb0="00000001" w:usb1="080E0000" w:usb2="00000000" w:usb3="00000000" w:csb0="00040000" w:csb1="00000000"/>
    <w:embedRegular r:id="rId3" w:fontKey="{240D9837-0258-442C-B10E-58C9934ACC70}"/>
  </w:font>
  <w:font w:name="方正仿宋_GB2312">
    <w:panose1 w:val="02000000000000000000"/>
    <w:charset w:val="86"/>
    <w:family w:val="auto"/>
    <w:pitch w:val="default"/>
    <w:sig w:usb0="A00002BF" w:usb1="184F6CFA" w:usb2="00000012" w:usb3="00000000" w:csb0="00040001" w:csb1="00000000"/>
    <w:embedRegular r:id="rId4" w:fontKey="{94F1C126-2371-4E69-A2D8-EC1A24D708B1}"/>
  </w:font>
  <w:font w:name="方正仿宋_GBK">
    <w:panose1 w:val="03000509000000000000"/>
    <w:charset w:val="86"/>
    <w:family w:val="auto"/>
    <w:pitch w:val="default"/>
    <w:sig w:usb0="00000001" w:usb1="080E0000" w:usb2="00000000" w:usb3="00000000" w:csb0="00040000" w:csb1="00000000"/>
    <w:embedRegular r:id="rId5" w:fontKey="{46A92219-A6E9-4F4A-BA19-1B5CFF9BC2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631F9B"/>
    <w:rsid w:val="0C514E49"/>
    <w:rsid w:val="17D96C6E"/>
    <w:rsid w:val="1802205D"/>
    <w:rsid w:val="20406058"/>
    <w:rsid w:val="21F96392"/>
    <w:rsid w:val="22BA225C"/>
    <w:rsid w:val="2D263ECE"/>
    <w:rsid w:val="34A316DF"/>
    <w:rsid w:val="59A145E0"/>
    <w:rsid w:val="5E631F9B"/>
    <w:rsid w:val="681109E6"/>
    <w:rsid w:val="6A231F6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2021-09-17T07:37:12Z</cp:lastPrinted>
  <dcterms:modified xsi:type="dcterms:W3CDTF">2021-09-17T07:43:54Z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5E3EDBF8312D449E91C3DDDD60830C96</vt:lpwstr>
  </property>
</Properties>
</file>