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需求内容-新冠核酸提取设备一套</w:t>
      </w:r>
    </w:p>
    <w:p>
      <w:pPr>
        <w:numPr>
          <w:ilvl w:val="0"/>
          <w:numId w:val="1"/>
        </w:numPr>
        <w:rPr>
          <w:rFonts w:hint="eastAsia" w:ascii="黑体" w:hAnsi="黑体" w:eastAsia="黑体" w:cs="黑体"/>
          <w:sz w:val="32"/>
          <w:szCs w:val="32"/>
          <w:lang w:eastAsia="zh-CN"/>
        </w:rPr>
      </w:pPr>
      <w:r>
        <w:rPr>
          <w:rFonts w:hint="eastAsia" w:ascii="黑体" w:hAnsi="黑体" w:eastAsia="黑体" w:cs="黑体"/>
          <w:sz w:val="32"/>
          <w:szCs w:val="32"/>
          <w:lang w:eastAsia="zh-CN"/>
        </w:rPr>
        <w:t>功能用途</w:t>
      </w:r>
    </w:p>
    <w:p>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可从咽拭子、血清、血浆、全血、组织、干血斑等多种类型的样本中实现全自动、快速提取到所需要的目标核酸。</w:t>
      </w:r>
    </w:p>
    <w:p>
      <w:pPr>
        <w:rPr>
          <w:rFonts w:hint="eastAsia" w:ascii="黑体" w:hAnsi="黑体" w:eastAsia="黑体" w:cs="黑体"/>
          <w:sz w:val="32"/>
          <w:szCs w:val="32"/>
          <w:lang w:eastAsia="zh-CN"/>
        </w:rPr>
      </w:pPr>
      <w:r>
        <w:rPr>
          <w:rFonts w:hint="eastAsia" w:ascii="黑体" w:hAnsi="黑体" w:eastAsia="黑体" w:cs="黑体"/>
          <w:sz w:val="32"/>
          <w:szCs w:val="32"/>
          <w:lang w:eastAsia="zh-CN"/>
        </w:rPr>
        <w:t>二、技术参数</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rPr>
        <w:t>、运行原理：利用磁棒的磁性吸附技术将试剂中的磁珠在各个孔位中进行转移和反应，运行中不进行任何液体的转移工作即可完成整个提取过程；</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rPr>
        <w:t>、处理能力：一次性完成1-96个样本的提取；16*6模块，可根据需求放置所需求提取量的深孔板，可用单条耗材完成单个样本的提取。</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3</w:t>
      </w:r>
      <w:r>
        <w:rPr>
          <w:rFonts w:hint="eastAsia" w:ascii="方正仿宋_GB2312" w:hAnsi="方正仿宋_GB2312" w:eastAsia="方正仿宋_GB2312" w:cs="方正仿宋_GB2312"/>
          <w:sz w:val="32"/>
          <w:szCs w:val="32"/>
        </w:rPr>
        <w:t>、操控方式：全彩液晶屏触控或扫码</w:t>
      </w:r>
      <w:r>
        <w:rPr>
          <w:rFonts w:hint="eastAsia" w:ascii="方正仿宋_GB2312" w:hAnsi="方正仿宋_GB2312" w:eastAsia="方正仿宋_GB2312" w:cs="方正仿宋_GB2312"/>
          <w:sz w:val="32"/>
          <w:szCs w:val="32"/>
          <w:lang w:eastAsia="zh-CN"/>
        </w:rPr>
        <w:t>枪</w:t>
      </w:r>
      <w:r>
        <w:rPr>
          <w:rFonts w:hint="eastAsia" w:ascii="方正仿宋_GB2312" w:hAnsi="方正仿宋_GB2312" w:eastAsia="方正仿宋_GB2312" w:cs="方正仿宋_GB2312"/>
          <w:sz w:val="32"/>
          <w:szCs w:val="32"/>
        </w:rPr>
        <w:t>操控；</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4</w:t>
      </w:r>
      <w:r>
        <w:rPr>
          <w:rFonts w:hint="eastAsia" w:ascii="方正仿宋_GB2312" w:hAnsi="方正仿宋_GB2312" w:eastAsia="方正仿宋_GB2312" w:cs="方正仿宋_GB2312"/>
          <w:sz w:val="32"/>
          <w:szCs w:val="32"/>
        </w:rPr>
        <w:t>、混合方式：通过微型电机带动磁棒保护套持续旋转使样本与试剂的充分混合；</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5</w:t>
      </w:r>
      <w:r>
        <w:rPr>
          <w:rFonts w:hint="eastAsia" w:ascii="方正仿宋_GB2312" w:hAnsi="方正仿宋_GB2312" w:eastAsia="方正仿宋_GB2312" w:cs="方正仿宋_GB2312"/>
          <w:sz w:val="32"/>
          <w:szCs w:val="32"/>
        </w:rPr>
        <w:t>、磁珠回收率：≥98%</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6</w:t>
      </w:r>
      <w:r>
        <w:rPr>
          <w:rFonts w:hint="eastAsia" w:ascii="方正仿宋_GB2312" w:hAnsi="方正仿宋_GB2312" w:eastAsia="方正仿宋_GB2312" w:cs="方正仿宋_GB2312"/>
          <w:sz w:val="32"/>
          <w:szCs w:val="32"/>
        </w:rPr>
        <w:t>、孔间差异：CV≤1%</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7</w:t>
      </w:r>
      <w:r>
        <w:rPr>
          <w:rFonts w:hint="eastAsia" w:ascii="方正仿宋_GB2312" w:hAnsi="方正仿宋_GB2312" w:eastAsia="方正仿宋_GB2312" w:cs="方正仿宋_GB2312"/>
          <w:sz w:val="32"/>
          <w:szCs w:val="32"/>
        </w:rPr>
        <w:t>、运行噪音：运行最大噪音≤65分贝；</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8</w:t>
      </w:r>
      <w:r>
        <w:rPr>
          <w:rFonts w:hint="eastAsia" w:ascii="方正仿宋_GB2312" w:hAnsi="方正仿宋_GB2312" w:eastAsia="方正仿宋_GB2312" w:cs="方正仿宋_GB2312"/>
          <w:sz w:val="32"/>
          <w:szCs w:val="32"/>
        </w:rPr>
        <w:t>、运行时间：搭配原厂配套预封装试剂盒最快25分钟内完成96个样本提取，提供提取试剂盒说明书；</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9</w:t>
      </w:r>
      <w:r>
        <w:rPr>
          <w:rFonts w:hint="eastAsia" w:ascii="方正仿宋_GB2312" w:hAnsi="方正仿宋_GB2312" w:eastAsia="方正仿宋_GB2312" w:cs="方正仿宋_GB2312"/>
          <w:sz w:val="32"/>
          <w:szCs w:val="32"/>
        </w:rPr>
        <w:t>、程序管理：仪器内置10组</w:t>
      </w:r>
      <w:r>
        <w:rPr>
          <w:rFonts w:hint="eastAsia" w:ascii="方正仿宋_GB2312" w:hAnsi="方正仿宋_GB2312" w:eastAsia="方正仿宋_GB2312" w:cs="方正仿宋_GB2312"/>
          <w:sz w:val="32"/>
          <w:szCs w:val="32"/>
          <w:lang w:eastAsia="zh-CN"/>
        </w:rPr>
        <w:t>或</w:t>
      </w:r>
      <w:r>
        <w:rPr>
          <w:rFonts w:hint="eastAsia" w:ascii="方正仿宋_GB2312" w:hAnsi="方正仿宋_GB2312" w:eastAsia="方正仿宋_GB2312" w:cs="方正仿宋_GB2312"/>
          <w:sz w:val="32"/>
          <w:szCs w:val="32"/>
          <w:lang w:val="en-US" w:eastAsia="zh-CN"/>
        </w:rPr>
        <w:t>10组</w:t>
      </w:r>
      <w:r>
        <w:rPr>
          <w:rFonts w:hint="eastAsia" w:ascii="方正仿宋_GB2312" w:hAnsi="方正仿宋_GB2312" w:eastAsia="方正仿宋_GB2312" w:cs="方正仿宋_GB2312"/>
          <w:sz w:val="32"/>
          <w:szCs w:val="32"/>
          <w:lang w:eastAsia="zh-CN"/>
        </w:rPr>
        <w:t>以上</w:t>
      </w:r>
      <w:r>
        <w:rPr>
          <w:rFonts w:hint="eastAsia" w:ascii="方正仿宋_GB2312" w:hAnsi="方正仿宋_GB2312" w:eastAsia="方正仿宋_GB2312" w:cs="方正仿宋_GB2312"/>
          <w:sz w:val="32"/>
          <w:szCs w:val="32"/>
        </w:rPr>
        <w:t>常用实验程序，且用户可根据需要灵活进行新建、编辑、删除程序等操作；</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r>
        <w:rPr>
          <w:rFonts w:hint="eastAsia" w:ascii="方正仿宋_GB2312" w:hAnsi="方正仿宋_GB2312" w:eastAsia="方正仿宋_GB2312" w:cs="方正仿宋_GB2312"/>
          <w:sz w:val="32"/>
          <w:szCs w:val="32"/>
          <w:lang w:val="en-US" w:eastAsia="zh-CN"/>
        </w:rPr>
        <w:t>0</w:t>
      </w:r>
      <w:r>
        <w:rPr>
          <w:rFonts w:hint="eastAsia" w:ascii="方正仿宋_GB2312" w:hAnsi="方正仿宋_GB2312" w:eastAsia="方正仿宋_GB2312" w:cs="方正仿宋_GB2312"/>
          <w:sz w:val="32"/>
          <w:szCs w:val="32"/>
        </w:rPr>
        <w:t>、自动舱门：电机驱动自动开关实验舱门；</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rPr>
        <w:t>、二维码识别：可外接扫码器，使用原厂试剂盒时扫码后即可运行，一键运行，记录实验时间、产品批号、效期等信息，使实验可溯源；</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rPr>
        <w:t>、污染防控：</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rPr>
        <w:t>.1、实验舱内置紫外灯，最大灭菌时间可设置为60分钟；</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rPr>
        <w:t>.2、实验舱具备外排式独立风路，采用负压HEPA排气过滤模块；其中的生物滤棉可吸附其中的核酸气溶胶；</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r>
        <w:rPr>
          <w:rFonts w:hint="eastAsia" w:ascii="方正仿宋_GB2312" w:hAnsi="方正仿宋_GB2312" w:eastAsia="方正仿宋_GB2312" w:cs="方正仿宋_GB2312"/>
          <w:sz w:val="32"/>
          <w:szCs w:val="32"/>
          <w:lang w:val="en-US" w:eastAsia="zh-CN"/>
        </w:rPr>
        <w:t>3</w:t>
      </w:r>
      <w:r>
        <w:rPr>
          <w:rFonts w:hint="eastAsia" w:ascii="方正仿宋_GB2312" w:hAnsi="方正仿宋_GB2312" w:eastAsia="方正仿宋_GB2312" w:cs="方正仿宋_GB2312"/>
          <w:sz w:val="32"/>
          <w:szCs w:val="32"/>
        </w:rPr>
        <w:t>、配套试剂：具有预封装的病毒、全血、细菌、组织、干血斑等配套提取试剂盒。</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r>
        <w:rPr>
          <w:rFonts w:hint="eastAsia" w:ascii="方正仿宋_GB2312" w:hAnsi="方正仿宋_GB2312" w:eastAsia="方正仿宋_GB2312" w:cs="方正仿宋_GB2312"/>
          <w:sz w:val="32"/>
          <w:szCs w:val="32"/>
          <w:lang w:val="en-US" w:eastAsia="zh-CN"/>
        </w:rPr>
        <w:t>4</w:t>
      </w:r>
      <w:r>
        <w:rPr>
          <w:rFonts w:hint="eastAsia" w:ascii="方正仿宋_GB2312" w:hAnsi="方正仿宋_GB2312" w:eastAsia="方正仿宋_GB2312" w:cs="方正仿宋_GB2312"/>
          <w:sz w:val="32"/>
          <w:szCs w:val="32"/>
        </w:rPr>
        <w:t>、配套耗材：单条六联管、96深孔板两种不同耗材；</w:t>
      </w:r>
    </w:p>
    <w:p>
      <w:pPr>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15、提供福建省阳光采购平台试剂中标情况</w:t>
      </w:r>
      <w:bookmarkStart w:id="0" w:name="_GoBack"/>
      <w:bookmarkEnd w:id="0"/>
    </w:p>
    <w:p>
      <w:pPr>
        <w:rPr>
          <w:rFonts w:hint="eastAsia" w:ascii="黑体" w:hAnsi="黑体" w:eastAsia="黑体" w:cs="黑体"/>
          <w:sz w:val="32"/>
          <w:szCs w:val="32"/>
          <w:lang w:val="en-US" w:eastAsia="zh-CN"/>
        </w:rPr>
      </w:pPr>
      <w:r>
        <w:rPr>
          <w:rFonts w:hint="eastAsia" w:ascii="黑体" w:hAnsi="黑体" w:eastAsia="黑体" w:cs="黑体"/>
          <w:sz w:val="32"/>
          <w:szCs w:val="32"/>
          <w:lang w:eastAsia="zh-CN"/>
        </w:rPr>
        <w:t>二、配置清</w:t>
      </w:r>
      <w:r>
        <w:rPr>
          <w:rFonts w:hint="eastAsia" w:ascii="黑体" w:hAnsi="黑体" w:eastAsia="黑体" w:cs="黑体"/>
          <w:sz w:val="32"/>
          <w:szCs w:val="32"/>
          <w:lang w:val="en-US" w:eastAsia="zh-CN"/>
        </w:rPr>
        <w:t>单</w:t>
      </w:r>
    </w:p>
    <w:p>
      <w:pPr>
        <w:numPr>
          <w:ilvl w:val="0"/>
          <w:numId w:val="0"/>
        </w:num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rPr>
        <w:t>主机1台</w:t>
      </w:r>
    </w:p>
    <w:p>
      <w:pPr>
        <w:numPr>
          <w:ilvl w:val="0"/>
          <w:numId w:val="0"/>
        </w:num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rPr>
        <w:t>扫码器一个</w:t>
      </w:r>
    </w:p>
    <w:p>
      <w:pPr>
        <w:numPr>
          <w:ilvl w:val="0"/>
          <w:numId w:val="0"/>
        </w:numPr>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w:t>
      </w:r>
      <w:r>
        <w:rPr>
          <w:rFonts w:hint="eastAsia" w:ascii="方正仿宋_GB2312" w:hAnsi="方正仿宋_GB2312" w:eastAsia="方正仿宋_GB2312" w:cs="方正仿宋_GB2312"/>
          <w:sz w:val="32"/>
          <w:szCs w:val="32"/>
        </w:rPr>
        <w:t>单样本耗材支架*2个</w:t>
      </w:r>
    </w:p>
    <w:p>
      <w:pPr>
        <w:rPr>
          <w:rFonts w:hint="eastAsia" w:ascii="黑体" w:hAnsi="黑体" w:eastAsia="黑体" w:cs="黑体"/>
          <w:sz w:val="32"/>
          <w:szCs w:val="32"/>
          <w:lang w:eastAsia="zh-CN"/>
        </w:rPr>
      </w:pPr>
      <w:r>
        <w:rPr>
          <w:rFonts w:hint="eastAsia" w:ascii="黑体" w:hAnsi="黑体" w:eastAsia="黑体" w:cs="黑体"/>
          <w:sz w:val="32"/>
          <w:szCs w:val="32"/>
          <w:lang w:eastAsia="zh-CN"/>
        </w:rPr>
        <w:t>三、售后服务方案</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（1）供应商应按照本采购项目特点提供长期良好的售后服务，并在响应文件中提供详细具体的售后服务承诺条款及保证，在质保期内售后服务所需费用列入报价。</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（2）要求供应商必须拥有专业的售后维护服务团队，能够保证本项目正常运行。</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（3）本次报价的设备</w:t>
      </w:r>
      <w:r>
        <w:rPr>
          <w:rFonts w:hint="eastAsia" w:ascii="方正仿宋_GB2312" w:hAnsi="方正仿宋_GB2312" w:eastAsia="方正仿宋_GB2312" w:cs="方正仿宋_GB2312"/>
          <w:sz w:val="32"/>
          <w:szCs w:val="32"/>
          <w:lang w:eastAsia="zh-CN"/>
        </w:rPr>
        <w:t>主</w:t>
      </w:r>
      <w:r>
        <w:rPr>
          <w:rFonts w:hint="eastAsia" w:ascii="方正仿宋_GB2312" w:hAnsi="方正仿宋_GB2312" w:eastAsia="方正仿宋_GB2312" w:cs="方正仿宋_GB2312"/>
          <w:sz w:val="32"/>
          <w:szCs w:val="32"/>
        </w:rPr>
        <w:t>机质保期至少为</w:t>
      </w: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rPr>
        <w:t>年</w:t>
      </w:r>
      <w:r>
        <w:rPr>
          <w:rFonts w:hint="eastAsia" w:ascii="方正仿宋_GB2312" w:hAnsi="方正仿宋_GB2312" w:eastAsia="方正仿宋_GB2312" w:cs="方正仿宋_GB2312"/>
          <w:sz w:val="32"/>
          <w:szCs w:val="32"/>
          <w:lang w:val="en-US" w:eastAsia="zh-CN"/>
        </w:rPr>
        <w:t>，</w:t>
      </w:r>
      <w:r>
        <w:rPr>
          <w:rFonts w:hint="eastAsia" w:ascii="方正仿宋_GB2312" w:hAnsi="方正仿宋_GB2312" w:eastAsia="方正仿宋_GB2312" w:cs="方正仿宋_GB2312"/>
          <w:sz w:val="32"/>
          <w:szCs w:val="32"/>
        </w:rPr>
        <w:t>自验收合格之日起计算，期间成交供应商应提供一切维修服务和更换零配件（不再另行收取费用）。设备正常使用期间内，厂商必须提供每年2次的设备技术安全巡检保养并提供年度巡检保养报告给医院存档。投标的产品供应商应提供服务条款说明书，并提供相关服务机构有关资格证明文件及公司（厂家）、地址、联系人、联系电话。</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在质保期内，成交供应商提供7*24小时服务。对于产品在使用过程中出现的问题，在1小时内响应。如遇与所供产品有关的问题无法远程解决的，在事件确定后2小时内赶到现场提供服务。2小时内未解决的成交供应商应提供详细的应急解决方案。因成交供应商工作延误，造成采购人损失的，成交供应商应负赔偿责任。</w:t>
      </w:r>
    </w:p>
    <w:p>
      <w:pPr>
        <w:rPr>
          <w:rFonts w:hint="eastAsia" w:ascii="黑体" w:hAnsi="黑体" w:eastAsia="黑体" w:cs="黑体"/>
          <w:sz w:val="32"/>
          <w:szCs w:val="32"/>
          <w:lang w:eastAsia="zh-CN"/>
        </w:rPr>
      </w:pPr>
      <w:r>
        <w:rPr>
          <w:rFonts w:hint="eastAsia" w:ascii="黑体" w:hAnsi="黑体" w:eastAsia="黑体" w:cs="黑体"/>
          <w:sz w:val="32"/>
          <w:szCs w:val="32"/>
          <w:lang w:eastAsia="zh-CN"/>
        </w:rPr>
        <w:t>四、培训要求</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（1）成交供应商提供现场技术培训，保证使用人员正确操作设备的各种功能，维修人员能进行常规维护、检修与保养。</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（2）供应商应提供现场人员的培训，包括但不限于操作培训、保养培训和维修培训，并提供书面承诺和培训方案；培训使用单位操作人员直到熟悉为止（所有培训不再另行收取费用）。</w:t>
      </w:r>
    </w:p>
    <w:p>
      <w:pPr>
        <w:rPr>
          <w:rFonts w:hint="default" w:ascii="方正仿宋_GB2312" w:hAnsi="方正仿宋_GB2312" w:eastAsia="方正仿宋_GB2312" w:cs="方正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93A5760-4AAC-4DC6-AA9F-4C4515CF9DA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04EFB0CA-A47B-4ADF-A74E-21D8D70FBDBE}"/>
  </w:font>
  <w:font w:name="方正仿宋_GB2312">
    <w:panose1 w:val="02000000000000000000"/>
    <w:charset w:val="86"/>
    <w:family w:val="auto"/>
    <w:pitch w:val="default"/>
    <w:sig w:usb0="A00002BF" w:usb1="184F6CFA" w:usb2="00000012" w:usb3="00000000" w:csb0="00040001" w:csb1="00000000"/>
    <w:embedRegular r:id="rId3" w:fontKey="{E535F930-1D3C-4437-8DFE-6FFDC461953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56956B"/>
    <w:multiLevelType w:val="singleLevel"/>
    <w:tmpl w:val="CA56956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631F9B"/>
    <w:rsid w:val="044A1CD7"/>
    <w:rsid w:val="089376BB"/>
    <w:rsid w:val="1802205D"/>
    <w:rsid w:val="20406058"/>
    <w:rsid w:val="22BA225C"/>
    <w:rsid w:val="2D263ECE"/>
    <w:rsid w:val="3F2854D3"/>
    <w:rsid w:val="5E631F9B"/>
    <w:rsid w:val="681109E6"/>
    <w:rsid w:val="7C560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220</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svfly</cp:lastModifiedBy>
  <cp:lastPrinted>2021-09-13T03:33:00Z</cp:lastPrinted>
  <dcterms:modified xsi:type="dcterms:W3CDTF">2021-09-13T06:55:40Z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485D1C49BB7B4BFD987AA3008D10B286</vt:lpwstr>
  </property>
</Properties>
</file>