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default" w:ascii="方正小标宋简体" w:hAnsi="方正小标宋简体" w:eastAsia="方正小标宋简体" w:cs="方正小标宋简体"/>
          <w:b/>
          <w:i w:val="0"/>
          <w:caps w:val="0"/>
          <w:spacing w:val="0"/>
          <w:w w:val="100"/>
          <w:kern w:val="2"/>
          <w:sz w:val="44"/>
          <w:szCs w:val="44"/>
          <w:lang w:val="en-US" w:eastAsia="zh-CN" w:bidi="ar-SA"/>
        </w:rPr>
      </w:pPr>
      <w:r>
        <w:rPr>
          <w:rStyle w:val="11"/>
          <w:rFonts w:hint="eastAsia" w:ascii="方正小标宋简体" w:hAnsi="方正小标宋简体" w:eastAsia="方正小标宋简体" w:cs="方正小标宋简体"/>
          <w:b/>
          <w:i w:val="0"/>
          <w:caps w:val="0"/>
          <w:spacing w:val="0"/>
          <w:w w:val="100"/>
          <w:kern w:val="2"/>
          <w:sz w:val="44"/>
          <w:szCs w:val="44"/>
          <w:lang w:val="en-US" w:eastAsia="zh-CN" w:bidi="ar-SA"/>
        </w:rPr>
        <w:t>需求内容-护理教学信息服务项目</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ascii="方正小标宋_GBK" w:hAnsi="方正小标宋_GBK" w:eastAsia="方正小标宋_GBK"/>
          <w:b/>
          <w:i w:val="0"/>
          <w:caps w:val="0"/>
          <w:spacing w:val="0"/>
          <w:w w:val="100"/>
          <w:kern w:val="2"/>
          <w:sz w:val="44"/>
          <w:szCs w:val="44"/>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因我院护理人员培训及考核需要，拟对护理教学信息服务项目进行院内公开招标，有关事项公告如下：</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一、项目概况及要求</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方正仿宋_GBK" w:hAnsi="方正仿宋_GBK" w:eastAsia="方正仿宋_GBK" w:cs="方正仿宋_GBK"/>
          <w:b w:val="0"/>
          <w:bCs w:val="0"/>
          <w:sz w:val="32"/>
          <w:szCs w:val="32"/>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需招标护理教学信息服务，中标人应按要求派出专业人员免费上门安装调试，并提供相关的技术、培训等服务，以及必要的技术资料。具体参数如下：</w:t>
      </w:r>
    </w:p>
    <w:p>
      <w:pPr>
        <w:pStyle w:val="7"/>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APP端：</w:t>
      </w:r>
    </w:p>
    <w:tbl>
      <w:tblPr>
        <w:tblStyle w:val="8"/>
        <w:tblW w:w="5000" w:type="pct"/>
        <w:tblInd w:w="0" w:type="dxa"/>
        <w:tblLayout w:type="autofit"/>
        <w:tblCellMar>
          <w:top w:w="0" w:type="dxa"/>
          <w:left w:w="108" w:type="dxa"/>
          <w:bottom w:w="0" w:type="dxa"/>
          <w:right w:w="108" w:type="dxa"/>
        </w:tblCellMar>
      </w:tblPr>
      <w:tblGrid>
        <w:gridCol w:w="770"/>
        <w:gridCol w:w="2596"/>
        <w:gridCol w:w="5060"/>
      </w:tblGrid>
      <w:tr>
        <w:tblPrEx>
          <w:tblCellMar>
            <w:top w:w="0" w:type="dxa"/>
            <w:left w:w="108" w:type="dxa"/>
            <w:bottom w:w="0" w:type="dxa"/>
            <w:right w:w="108" w:type="dxa"/>
          </w:tblCellMar>
        </w:tblPrEx>
        <w:trPr>
          <w:trHeight w:val="450" w:hRule="atLeast"/>
          <w:tblHeader/>
        </w:trPr>
        <w:tc>
          <w:tcPr>
            <w:tcW w:w="457" w:type="pct"/>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模块</w:t>
            </w:r>
          </w:p>
        </w:tc>
        <w:tc>
          <w:tcPr>
            <w:tcW w:w="1540" w:type="pct"/>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功能点</w:t>
            </w:r>
          </w:p>
        </w:tc>
        <w:tc>
          <w:tcPr>
            <w:tcW w:w="3002" w:type="pct"/>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说明</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考试</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1.考前接收通知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2.现场手机签到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3.自动加载试卷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4.考完自动出分数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5.成绩自动汇总到后台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6.在线考试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7.查看即将参加的考试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8.查看历史考试记录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9.作弊监控系统</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10.参加补考</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1.手机下载app即可参加考试，考试从通知到结束乃至补考都是自动化进行。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2.考试成绩数据、监控数据完整汇总统计到护理后台。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3.传统PC端、纸质无法达到的自动化、移动化。</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4.节约采购PC电脑成本、纸质统计效率。真正的信息化。</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5.可用于护理部、科室、病区等所有院内考试业务。</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6.在线考试，无需现场签到，大考前的线上模拟测试。提升大考效率，减轻护士压力。</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培训</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1.培训前接收通知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2.现场手机签到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3.培训课件阅读</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4.课堂评测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5.课后评价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6.查看即将参加的培训</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7.查看历史培训记录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8.报名参加培训</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1.参加培训从通知到结束，全程自动化进行。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2.护士可查看培训中老师上传的文档课件，课后可加强学习。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3.护士可参与老师课后上传的评测题目，保证培训真实有效听讲。</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4.护士可参与老师上传的问卷，对本次培训提出建议。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5.护士参加培训的签到数据，自动汇总到护理后台。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6.护士根据自己的临床工作时间来报名参加培训。</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实操考核</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1.考核前接收通知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2.现场手机打分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3.查看历史考核记录</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1.参加培训从通知到结束，全程自动化进行。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2.考官可以手机端完成打分。</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3.打分数据自动汇总到护理后台。</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练习题</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1.查看与自己能级对应的练习主题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2.每组10道题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3.练习得积分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4.选择题、判断题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5.系统自带数十万护理题目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6.支持院方批量导入题目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7.练习过程答案展示</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1.护士碎片化时间打开手机进行练习。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2.解决护士考前复习压力，纸质书籍不便于携带，考试合格率更高。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3.智能化算法出题，优先练习没有练习过的题目，其次是练习答错的题目，可能会答错的题目。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4.系统自带数十万道，500多家三级、二级、综合、专科等医院的护理题目，覆盖面广。</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视频学习</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1.查看与自己相关的视频课件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2.视频观看进度记录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3.观看过程跳出题目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4.课后评测</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1.实习护士、新护士、轮转护士更方便的学习实操、理论相关的视频课件。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2.观看过程跳出问答，不回答无法继续观看，防止护士自动播放不观看。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3.课后测试，保证视频学习质量。</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学分管理</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1.查看学分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2.查看学分来源明细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3.提示还差多少学分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4.获取学分方式</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1.方便的让护士知道自己的学分情况。</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2.学分与教学计划的结合，更加人性化的让护士了解到还有哪些培训可以获取学分，护士根据自身情况安排参与，避免年底学分未满足。</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3.避免护理部统计学分不准确。</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医院栏目</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1.阅读院内发布的文章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2.系统自带护理文章</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1.护士随时查看、阅读院内发出的文章</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学习计划</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1.手机端查看学习计划</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2.查看与自己相关的学习计划</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1.方便护士了解还有哪些培训需要参加，根据自己的时间提前安排好事项。</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2.管理者后台编辑好教学计划，护手手机端app可以查看。</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院内通知</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1.App端查通知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2.查看通知中的附件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3.查看后显示已阅读</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4.未点击显示未查看</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1.保证点对点通知到个人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2.内容可添加附件，更完整表达通知内容</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3.护士没有点击查看，后台可以统计。</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质量检查</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 手机端实时上报</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2.手机端查看整改方案通知</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1.手机查看打分报表；</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2.手机端打分；</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3.打分数据实时上传。</w:t>
            </w:r>
          </w:p>
        </w:tc>
      </w:tr>
      <w:tr>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不良事件上报</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1.手机端实时上报</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2.实时提醒</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1.手机查填写上报报表；</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2.不良事件数据实时上传。</w:t>
            </w:r>
          </w:p>
        </w:tc>
      </w:tr>
    </w:tbl>
    <w:p>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p>
    <w:p>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微信端（公众号）：</w:t>
      </w:r>
    </w:p>
    <w:tbl>
      <w:tblPr>
        <w:tblStyle w:val="8"/>
        <w:tblW w:w="5000" w:type="pct"/>
        <w:tblInd w:w="0" w:type="dxa"/>
        <w:tblLayout w:type="autofit"/>
        <w:tblCellMar>
          <w:top w:w="0" w:type="dxa"/>
          <w:left w:w="108" w:type="dxa"/>
          <w:bottom w:w="0" w:type="dxa"/>
          <w:right w:w="108" w:type="dxa"/>
        </w:tblCellMar>
      </w:tblPr>
      <w:tblGrid>
        <w:gridCol w:w="709"/>
        <w:gridCol w:w="2085"/>
        <w:gridCol w:w="5632"/>
      </w:tblGrid>
      <w:tr>
        <w:tblPrEx>
          <w:tblCellMar>
            <w:top w:w="0" w:type="dxa"/>
            <w:left w:w="108" w:type="dxa"/>
            <w:bottom w:w="0" w:type="dxa"/>
            <w:right w:w="108" w:type="dxa"/>
          </w:tblCellMar>
        </w:tblPrEx>
        <w:trPr>
          <w:trHeight w:val="450" w:hRule="atLeast"/>
          <w:tblHeader/>
        </w:trPr>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模块</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功能点</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说明</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个人信息</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1.能级、职称、职务等信息标准化选择</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1.随时修改自己的信息，由上级进行审核才可修改通过。</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2.重要信息跳过护士长（病区管理员），由护理部审核。</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3.便于后期各种活动通知绑定人员时，可一键筛选绑定。</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人员加入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1.扫码加入医院及病区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2.层层审核机制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3.微信端加入方便快捷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4.封闭式管理人员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5.管理员微信端管理人员</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1.封闭式人员加入系统，每个医院单独二维码。</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2.病区护士长、护理部最高管理员层层审核，全程自动化，确保外院人员不可进入。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3.微信端随时管理护士信息，删除、修改等。</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软件指导</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1.护士微信端查看软件指导</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2.管理员微信端查看软件指导</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1.微信端附有软件操作，避免护士出现操作问题无人解答。</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2.管理员也有软件操作指导，包括了管理员对电脑端后台使用的操作指导。</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3.真正的全方位无障碍使用软件。</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院内通知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1.微信端接收通知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2.详情进入app端查看</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1.通过公众号发送院内通知：培训、考试、练习等。</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2.详细内容提示护士到app查看，公众号不显示具体内容，以免护士到app端查看，确认获取护士是否查看通知监控数据。</w:t>
            </w:r>
          </w:p>
        </w:tc>
      </w:tr>
    </w:tbl>
    <w:p>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p>
    <w:p>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电脑端后台（管理员）：</w:t>
      </w:r>
    </w:p>
    <w:tbl>
      <w:tblPr>
        <w:tblStyle w:val="8"/>
        <w:tblW w:w="5000" w:type="pct"/>
        <w:tblInd w:w="0" w:type="dxa"/>
        <w:tblLayout w:type="autofit"/>
        <w:tblCellMar>
          <w:top w:w="0" w:type="dxa"/>
          <w:left w:w="108" w:type="dxa"/>
          <w:bottom w:w="0" w:type="dxa"/>
          <w:right w:w="108" w:type="dxa"/>
        </w:tblCellMar>
      </w:tblPr>
      <w:tblGrid>
        <w:gridCol w:w="842"/>
        <w:gridCol w:w="3023"/>
        <w:gridCol w:w="4561"/>
      </w:tblGrid>
      <w:tr>
        <w:tblPrEx>
          <w:tblCellMar>
            <w:top w:w="0" w:type="dxa"/>
            <w:left w:w="108" w:type="dxa"/>
            <w:bottom w:w="0" w:type="dxa"/>
            <w:right w:w="108" w:type="dxa"/>
          </w:tblCellMar>
        </w:tblPrEx>
        <w:trPr>
          <w:trHeight w:val="450" w:hRule="atLeast"/>
          <w:tblHeader/>
        </w:trPr>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模块</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功能点</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说明</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人员管理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1.添加导入人员信息</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2.搜索人员、按病区列表查看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3.查看单个人员教学总数据</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1.除了手机端快速添加人员外，电脑端也提供了入口，方便管理员在不同场合下使用。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2.电脑端展示护士的数据更为详细，方便管理员查看。</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练习题</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1.创建练习题主题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2.查看练习题主题列表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3.查看某一个练习题数据表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4.查看某一个练习题主题试题统计</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6.生成手机报表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7.查看某一个护士的练习题情况</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1.自动化、标准化创建练习题让护士学习，可以用系统自带的数十万道题目中抽取。</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2.一键绑定需要学习的护士，按病区、能级等条件筛选，快速便捷。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3.发现练习较多、错误较多、某一类护士学习热情度等各维度统计护士练习数据。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4.Excel形式导出数据方式，支持管理员随意提取数据制作数据表。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5.为教学科研提供科学的数据支持。</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培训</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1.快速创建培训</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2.查看培训数据：签到、答题等数据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4.生成手机报表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5.支持在线培训创建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6.设置是否报名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7.上传培训课件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8.绑定学分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40"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1.自动化、标准化创建培训。</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2.一键绑定需要参加培训的护士，按病区、能级等条件筛选，快速便捷。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3.各种培训相关数据随时查看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4.根据护士签到、是否答题等情况设置相关学分，自动化分配。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5.提前建立培训，设定通知时间。节省管理者工作，护士也可以查看需要未来和自己相关的培训计划表。</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考试</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2.查看考试数据：签到、答题等数据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4.生成手机报表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5.支持在线考试创建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6.设置是否报名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7.绑定学分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2.一键绑定需要参加考试的护士，按病区、能级等条件筛选，快速便捷。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3.各种考试相关数据随时查看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4.根据护士签到、是否答题等情况设置相关学分，自动化分配。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5.提前建立考试，设定通知时间。节省管理者工作，护士也可以查看需要未来和自己相关的考试计划表。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6.护士手机端作弊监控数据：切屏、截屏行为统计</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实操考核</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1.快速创建实操考核</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2.查看数据：签到、打分等数据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4.生成手机报表</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1.自动化、标准化创建实操考核。</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2.一键绑定需要参加考核的护士，按病区、能级等条件筛选，快速便捷。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3.各种考试相关数据随时查看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4.根据护士考核数据生成报表。</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视频学习</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1.快速创建视频学习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2.查看护士视频学习数据：观看进度，次数、重复次数、答题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3.视频任意时段插入问答，确保护士观看中答题。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4.上传管理院内教学视频入库</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5.系统自带护理几十个专业操作视频</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1.自动化、标准化创建视频学习。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2.一键绑定需要学习的的护士，按病区、能级等条件筛选，快速便捷。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3.各种视频相关数据随时查看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4.视频中穿插问答，不答题不可以继续观看，保证有效学习。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5.移动端视频学习方式，更容易让护士掌握，提高教学效果。</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6.针对新护士、实习护士、轮转护士视频化意义更大。</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7.系统不定期更新专业视频。</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8.院内自建视频库，随时调用。</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通知管理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1.承载系统更重教学方式通知。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2.查看护士是否点击阅读。</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3.定时推送通知。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4.通知中添加附件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5.快速绑定需要接收通知的人群。</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40"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1.通知传送到微信端，保证消息精准传达。</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2.按能级、科室等条件筛选出需要通知的人群，方便、自动。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3.实时查看护士是否点击阅读。</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医院栏目</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1.创建文章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2.查看阅读情况</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1.创建属于本院的医院栏目，添加图文类文章，类似微信公众号的方式。</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教学计划</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1.创建全年教学计划表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2.自动化提醒相关护士</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1.提前做好教学计划表，方便护士手机端查看。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2.提前通知相关护士参与。</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3.多位老师可共同编辑计划表，方便护理部二次编辑，修改更便捷。</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人员管理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1.生成医院专属二维码</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2.批量导入人员名单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3.修改护士信息</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4.统计全院护士数据：病区、能级、学历、职务、职称等</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5.添加护士信息</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1.生成医院专属二维码，让护士扫码加入，科学的审核机制，避免外人加入系统。</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2.重要信息可由护理部审核，保证护士信息正确性，避免护士乱改信息。</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安全管理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1.阿里云存储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2.腾讯云推送</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3.异地账号登录监控</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4.去账号微信端扫码登录方式</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1.服务全球的阿里云存储，经得起大数据的考验。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2.为微信提供的腾讯云服务，保证了信息的实时有效传达。</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3.微信端一键登录，自动识别管理者身份。</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质量检查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1.数据自动汇总；</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2.图标分析</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3.整改方案追踪</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1.手机端上传的打分自动汇总；</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2.能生成分析</w:t>
            </w:r>
            <w:r>
              <w:rPr>
                <w:rFonts w:hint="eastAsia" w:ascii="方正仿宋_GBK" w:hAnsi="方正仿宋_GBK" w:eastAsia="方正仿宋_GBK" w:cs="方正仿宋_GBK"/>
                <w:b w:val="0"/>
                <w:bCs w:val="0"/>
                <w:sz w:val="32"/>
                <w:szCs w:val="32"/>
                <w:lang w:eastAsia="zh-CN"/>
              </w:rPr>
              <w:t>图</w:t>
            </w:r>
            <w:r>
              <w:rPr>
                <w:rFonts w:hint="eastAsia" w:ascii="方正仿宋_GBK" w:hAnsi="方正仿宋_GBK" w:eastAsia="方正仿宋_GBK" w:cs="方正仿宋_GBK"/>
                <w:b w:val="0"/>
                <w:bCs w:val="0"/>
                <w:sz w:val="32"/>
                <w:szCs w:val="32"/>
              </w:rPr>
              <w:t>表；</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3.可查看整改方案的下发和反馈</w:t>
            </w:r>
          </w:p>
        </w:tc>
      </w:tr>
      <w:tr>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不良事件上报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1.数据自动汇总；</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2.图标分析</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1.手机端上传的不良事件自动汇总；</w:t>
            </w:r>
          </w:p>
          <w:p>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2.能生成分析</w:t>
            </w:r>
            <w:r>
              <w:rPr>
                <w:rFonts w:hint="eastAsia" w:ascii="方正仿宋_GBK" w:hAnsi="方正仿宋_GBK" w:eastAsia="方正仿宋_GBK" w:cs="方正仿宋_GBK"/>
                <w:b w:val="0"/>
                <w:bCs w:val="0"/>
                <w:sz w:val="32"/>
                <w:szCs w:val="32"/>
                <w:lang w:eastAsia="zh-CN"/>
              </w:rPr>
              <w:t>图</w:t>
            </w:r>
            <w:r>
              <w:rPr>
                <w:rFonts w:hint="eastAsia" w:ascii="方正仿宋_GBK" w:hAnsi="方正仿宋_GBK" w:eastAsia="方正仿宋_GBK" w:cs="方正仿宋_GBK"/>
                <w:b w:val="0"/>
                <w:bCs w:val="0"/>
                <w:sz w:val="32"/>
                <w:szCs w:val="32"/>
              </w:rPr>
              <w:t>表；</w:t>
            </w:r>
          </w:p>
        </w:tc>
      </w:tr>
    </w:tbl>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二、招标形式</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15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 xml:space="preserve">竞争性磋商 </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三、资质要求</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在国内进行工商注册具有相关经营范围，取得相关资质的法人企业，方可报名参加。报名时需提供以下资质证明材料：</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1、法人代表授权委托书原件（需有法人签名或盖法人章）；</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2、法人、</w:t>
      </w: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授权委托人身份证复印件；</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319" w:leftChars="152" w:firstLine="320" w:firstLineChars="1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3、经有效年检工商营业执照副本复印件（若提供统一社会信用代码营业执照副本复印件的，则无需提供有效税务登记副本复印件和组织机构代码证复印件）；</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4、税务登记证副本复印件；</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5、经有效年检组织机构代码证副本复印件；</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6、在经营活动中没有重大违法记录和重大安全责任事故的书面声明；</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7、无行贿犯罪记录的书面声明；</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以上资质证明材料报名时须提供复印件并加盖单位公章。</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四、评分标准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此次招标采用综合评分法，评分标准如下：</w:t>
      </w:r>
    </w:p>
    <w:tbl>
      <w:tblPr>
        <w:tblStyle w:val="8"/>
        <w:tblW w:w="9282" w:type="dxa"/>
        <w:tblInd w:w="-5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5"/>
        <w:gridCol w:w="76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5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价格分(20分)</w:t>
            </w:r>
          </w:p>
        </w:tc>
        <w:tc>
          <w:tcPr>
            <w:tcW w:w="7697"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价格分的计算：</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报价得分=（报价基准价/投标报价）×0.20×100</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满足招标文件要求，且最低的报价为基准价，其价格分为满分。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5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技术分(65分)</w:t>
            </w:r>
          </w:p>
          <w:p>
            <w:pPr>
              <w:pStyle w:val="2"/>
              <w:keepNext w:val="0"/>
              <w:keepLines w:val="0"/>
              <w:pageBreakBefore w:val="0"/>
              <w:widowControl/>
              <w:kinsoku/>
              <w:wordWrap/>
              <w:overflowPunct/>
              <w:topLinePunct w:val="0"/>
              <w:autoSpaceDE/>
              <w:autoSpaceDN/>
              <w:bidi w:val="0"/>
              <w:adjustRightInd/>
              <w:snapToGrid/>
              <w:spacing w:before="120" w:beforeAutospacing="0" w:after="120" w:afterAutospacing="0" w:line="360" w:lineRule="auto"/>
              <w:jc w:val="left"/>
              <w:textAlignment w:val="baseline"/>
              <w:rPr>
                <w:rStyle w:val="11"/>
                <w:rFonts w:hint="eastAsia" w:ascii="方正仿宋_GBK" w:hAnsi="方正仿宋_GBK" w:eastAsia="方正仿宋_GBK" w:cs="方正仿宋_GBK"/>
                <w:b w:val="0"/>
                <w:bCs w:val="0"/>
                <w:i w:val="0"/>
                <w:caps/>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spacing w:val="0"/>
                <w:w w:val="100"/>
                <w:kern w:val="2"/>
                <w:sz w:val="32"/>
                <w:szCs w:val="32"/>
                <w:highlight w:val="none"/>
                <w:lang w:val="en-US" w:eastAsia="zh-CN" w:bidi="ar-SA"/>
              </w:rPr>
              <w:t>（若投标人技术部分的实际得分少于招标文件设定的技术部分总分50%的投标无效。）</w:t>
            </w:r>
          </w:p>
        </w:tc>
        <w:tc>
          <w:tcPr>
            <w:tcW w:w="7697"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t>一</w:t>
            </w: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、投标与招标要求的符合性（50分）：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评委根据各投标人所投产品的技术性能对招标文件第一章“项目概况及要求”</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 xml:space="preserve">第1点到第3点（APP端、微信端、电脑端后台）中各项技术要求的响应承诺情况进行评议评分，完全满足所有技术条款的得50分。对于不满足招标文件中技术要求的，每负偏离一项扣1分扣完为止。正偏离不加分。 </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 xml:space="preserve">二、有独立APP，可以在APP内实现考试、培训等功能，提供APP苹果市场和安卓市场截图加盖公章（3分）,未提供不得分； </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三、有护理相关题库，题目数量超过20万道，提供</w:t>
            </w: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题库数目</w:t>
            </w: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截图加盖公章（3分）,未提供不得分；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四、考试具有作弊监控机制，可以监控退出考试界面次数。提供系统截图加盖公章（3分）,未提供不得分；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五、通过微信公众号完成护士人员档案录入及审批。提供系统截图加盖公章（3分）,未提供不得分；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六、视频播放过程中可以弹出考试题目，测试学习效果。提供系统截图加盖公章（3分）,未提供不得分；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5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商务分(15分)</w:t>
            </w:r>
          </w:p>
        </w:tc>
        <w:tc>
          <w:tcPr>
            <w:tcW w:w="7697" w:type="dxa"/>
            <w:tcBorders>
              <w:top w:val="single" w:color="000000" w:sz="4" w:space="0"/>
              <w:left w:val="single" w:color="000000" w:sz="4" w:space="0"/>
              <w:bottom w:val="single" w:color="000000" w:sz="4" w:space="0"/>
              <w:right w:val="single" w:color="000000" w:sz="4" w:space="0"/>
            </w:tcBorders>
            <w:vAlign w:val="top"/>
          </w:tcPr>
          <w:p>
            <w:pPr>
              <w:pStyle w:val="2"/>
              <w:keepNext w:val="0"/>
              <w:keepLines w:val="0"/>
              <w:pageBreakBefore w:val="0"/>
              <w:widowControl/>
              <w:numPr>
                <w:ilvl w:val="0"/>
                <w:numId w:val="1"/>
              </w:numPr>
              <w:kinsoku/>
              <w:wordWrap/>
              <w:overflowPunct/>
              <w:topLinePunct w:val="0"/>
              <w:autoSpaceDE/>
              <w:autoSpaceDN/>
              <w:bidi w:val="0"/>
              <w:adjustRightInd/>
              <w:snapToGrid/>
              <w:spacing w:before="120" w:beforeAutospacing="0" w:after="12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投标人具有有效的护理教学信息系统类产品的软件著作权证书的得3分，需提供证书复印件，否则不得分。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二、效果评估报告（3分）：提供其它医院真实环境的测试及试用的报告，验证该系统完全满足医院护理人员考核及培训要求，满分为3分，每提供一家得1分，最多得3分。未提供相关报告者不得分。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三、经验业绩（3分）：评委根据各投标人提供2016年01月01日起至本项目投标截止时间止(日期以合同签订时间为准)由投标人所完成同类项目的业绩情况进行评审，每提供一份完整业绩证明材料的得1分，满分3分。注：投标人须提供合同关键页复印件，关键页包含：合同首页、合同内容页、合同金额页、可识别的合同执行时间页或合同签订时间页、合同签字或盖章页。采购合同文本须加盖投标人公章并注明复印件与原件一致，评标委员会将保留要求投标人提供原件予以核查的权利。评标过程中如发现填报不实，本项不得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四、售后服务（3分）：根据各投标人的售后服务承诺、维护响应计划进行评审，包括具体的售后服务内容、故障响应时间、响应方式等方面，由评委进行评议，售后服务内容完整、具体的得3分，售后服务基本内容完整、具体的得2分，售后服务内容不完整、不具体的得1分，未提供任何售后服务承诺的本项得0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五、技术培训（3分）：评委根据投标人提供的技术培训方案进行评审，投标人提供详细、合理、可行的技术培训方案的得3分，投标人提供基本可行的技术培训方案的得2分，投标人提供技术培训方案不完整的得1分，未提供或提供的技术培训方案不合理、不可行的得0分。</w:t>
            </w:r>
          </w:p>
        </w:tc>
      </w:tr>
    </w:tbl>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p>
    <w:p>
      <w:pPr>
        <w:pStyle w:val="2"/>
        <w:rPr>
          <w:rStyle w:val="11"/>
          <w:rFonts w:hint="eastAsia" w:ascii="黑体" w:hAnsi="黑体" w:eastAsia="黑体" w:cs="黑体"/>
          <w:b w:val="0"/>
          <w:bCs w:val="0"/>
          <w:i w:val="0"/>
          <w:caps w:val="0"/>
          <w:spacing w:val="0"/>
          <w:w w:val="100"/>
          <w:kern w:val="2"/>
          <w:sz w:val="32"/>
          <w:szCs w:val="32"/>
          <w:lang w:val="en-US" w:eastAsia="zh-CN" w:bidi="ar-SA"/>
        </w:rPr>
      </w:pPr>
    </w:p>
    <w:p>
      <w:pPr>
        <w:rPr>
          <w:rFonts w:hint="eastAsia"/>
          <w:lang w:val="en-US" w:eastAsia="zh-CN"/>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p>
    <w:p>
      <w:pPr>
        <w:keepNext w:val="0"/>
        <w:keepLines w:val="0"/>
        <w:pageBreakBefore w:val="0"/>
        <w:widowControl/>
        <w:numPr>
          <w:numId w:val="0"/>
        </w:numPr>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五、售后服务方案</w:t>
      </w:r>
    </w:p>
    <w:p>
      <w:pPr>
        <w:rPr>
          <w:rFonts w:hint="eastAsia" w:ascii="方正仿宋_GB2312" w:hAnsi="方正仿宋_GB2312" w:eastAsia="方正仿宋_GB2312" w:cs="方正仿宋_GB2312"/>
          <w:sz w:val="32"/>
          <w:szCs w:val="32"/>
        </w:rPr>
      </w:pPr>
      <w:r>
        <w:rPr>
          <w:rFonts w:hint="eastAsia"/>
          <w:lang w:val="en-US" w:eastAsia="zh-CN"/>
        </w:rPr>
        <w:t xml:space="preserve">      </w:t>
      </w: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（3）本次报价的</w:t>
      </w:r>
      <w:r>
        <w:rPr>
          <w:rFonts w:hint="eastAsia" w:ascii="方正仿宋_GB2312" w:hAnsi="方正仿宋_GB2312" w:eastAsia="方正仿宋_GB2312" w:cs="方正仿宋_GB2312"/>
          <w:sz w:val="32"/>
          <w:szCs w:val="32"/>
          <w:lang w:eastAsia="zh-CN"/>
        </w:rPr>
        <w:t>质</w:t>
      </w:r>
      <w:r>
        <w:rPr>
          <w:rFonts w:hint="eastAsia" w:ascii="方正仿宋_GB2312" w:hAnsi="方正仿宋_GB2312" w:eastAsia="方正仿宋_GB2312" w:cs="方正仿宋_GB2312"/>
          <w:sz w:val="32"/>
          <w:szCs w:val="32"/>
        </w:rPr>
        <w:t>保期至少为</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年，期间成交供应商应提供一切</w:t>
      </w:r>
      <w:r>
        <w:rPr>
          <w:rFonts w:hint="eastAsia" w:ascii="方正仿宋_GB2312" w:hAnsi="方正仿宋_GB2312" w:eastAsia="方正仿宋_GB2312" w:cs="方正仿宋_GB2312"/>
          <w:sz w:val="32"/>
          <w:szCs w:val="32"/>
          <w:lang w:eastAsia="zh-CN"/>
        </w:rPr>
        <w:t>维护</w:t>
      </w:r>
      <w:r>
        <w:rPr>
          <w:rFonts w:hint="eastAsia" w:ascii="方正仿宋_GB2312" w:hAnsi="方正仿宋_GB2312" w:eastAsia="方正仿宋_GB2312" w:cs="方正仿宋_GB2312"/>
          <w:sz w:val="32"/>
          <w:szCs w:val="32"/>
        </w:rPr>
        <w:t>服务</w:t>
      </w:r>
      <w:r>
        <w:rPr>
          <w:rFonts w:hint="eastAsia" w:ascii="方正仿宋_GB2312" w:hAnsi="方正仿宋_GB2312" w:eastAsia="方正仿宋_GB2312" w:cs="方正仿宋_GB2312"/>
          <w:sz w:val="32"/>
          <w:szCs w:val="32"/>
          <w:lang w:eastAsia="zh-CN"/>
        </w:rPr>
        <w:t>。</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pStyle w:val="2"/>
        <w:numPr>
          <w:numId w:val="0"/>
        </w:numPr>
        <w:rPr>
          <w:rFonts w:hint="default"/>
          <w:lang w:val="en-US" w:eastAsia="zh-CN"/>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六、其他要求</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1.因中标人原因造成采购供货合同无法按时签订，视为中标人违约，中标人违约对采购人造成的损失的，需另行支付相应的赔偿。</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2.在签定采购供货合同之后，因中标人原因要求解除合同的，视为中标人违约，对采购人造成的损失的，中标人需支付相应的赔偿。</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3.以下部分，中标人必须以书面形式做出承诺。不予承诺的，视为未实质性响应招标文件，投标将被拒绝。</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 xml:space="preserve">（1）中标人应当保证其所提供的产品为符合国家知识产权法律法规要求的正规正版产品，且上述产品不属于假冒伪劣商品；中标人还应保证采购人在使用该产品或其任何一部分时不受到第三方关于侵犯知识产权以及专利权、商标权或工业设计权等知识产权方面的指控，任何第三方如果提出此方面指控均与甲方无关，乙方应与第三方交涉，并承担可能发生的一切法律责任、费用和后果；若甲方因此而遭致损失的，乙方应赔偿该损失。 </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（2）中标人负责采购人收集的数据、内容信息及用户信息的安全和保密，不得将采购人所提供的信息随意公开，或者向第三方泄漏，未经采购人同意不得将数据用于其他用途；</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（3）中标人负责在合同期间保障采购人所提供的所有数据长期有效，并定期备份，合同期满后，中标人需将采购人提供的所有数据整理归档并归还采购人，后续不得使用；</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（4）系统应具备稳定性，使用过程中，因中标人原因造成的年大故障频率小于2次，每次故障时间小于2小时。</w:t>
      </w: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如中标人原因导致服务中断超过3天，乙方应退还相应时间的服务费或延长相应服务时间；</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（5）本项目在合同签订前，中标人必须与采购人事先签订信息安全与数据保密等与信息安全相关的协议，以及反商业行贿类承诺书、协议书。</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（6）实施中因中标人原因造成采购方经济、名誉等损失的，由中标人承担相应的责任。</w:t>
      </w:r>
      <w:bookmarkStart w:id="0" w:name="_GoBack"/>
      <w:bookmarkEnd w:id="0"/>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七、报名须知</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此项目预算总价为柒万贰仟元整（预算价为最高限价，超过或等于最高限价的报价为无效报价）。</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中标方需在合同签订后10天内交货</w:t>
      </w:r>
      <w:r>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t>。</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5672" w:leftChars="2200" w:hanging="1052" w:hangingChars="329"/>
        <w:jc w:val="left"/>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厦门医学院附属口腔医院                                  2021年9月3日</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br w:type="page"/>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tbl>
      <w:tblPr>
        <w:tblStyle w:val="8"/>
        <w:tblW w:w="9513"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00"/>
        <w:gridCol w:w="1340"/>
        <w:gridCol w:w="1340"/>
        <w:gridCol w:w="1000"/>
        <w:gridCol w:w="518"/>
        <w:gridCol w:w="722"/>
        <w:gridCol w:w="1341"/>
        <w:gridCol w:w="1115"/>
        <w:gridCol w:w="626"/>
        <w:gridCol w:w="8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3380" w:type="dxa"/>
            <w:gridSpan w:val="3"/>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附表一:</w:t>
            </w:r>
          </w:p>
        </w:tc>
        <w:tc>
          <w:tcPr>
            <w:tcW w:w="1000" w:type="dxa"/>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240" w:type="dxa"/>
            <w:gridSpan w:val="2"/>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341" w:type="dxa"/>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115" w:type="dxa"/>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437" w:type="dxa"/>
            <w:gridSpan w:val="2"/>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700" w:type="dxa"/>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2680" w:type="dxa"/>
            <w:gridSpan w:val="2"/>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000" w:type="dxa"/>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2581" w:type="dxa"/>
            <w:gridSpan w:val="3"/>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报价单</w:t>
            </w:r>
          </w:p>
        </w:tc>
        <w:tc>
          <w:tcPr>
            <w:tcW w:w="1115" w:type="dxa"/>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437" w:type="dxa"/>
            <w:gridSpan w:val="2"/>
            <w:tcBorders>
              <w:top w:val="nil"/>
              <w:left w:val="nil"/>
              <w:bottom w:val="nil"/>
              <w:right w:val="nil"/>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811" w:type="dxa"/>
          <w:trHeight w:val="431" w:hRule="atLeast"/>
        </w:trPr>
        <w:tc>
          <w:tcPr>
            <w:tcW w:w="7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序号</w:t>
            </w:r>
          </w:p>
        </w:tc>
        <w:tc>
          <w:tcPr>
            <w:tcW w:w="1340" w:type="dxa"/>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名称</w:t>
            </w:r>
          </w:p>
        </w:tc>
        <w:tc>
          <w:tcPr>
            <w:tcW w:w="1340" w:type="dxa"/>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规格</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型号</w:t>
            </w:r>
          </w:p>
        </w:tc>
        <w:tc>
          <w:tcPr>
            <w:tcW w:w="1518" w:type="dxa"/>
            <w:gridSpan w:val="2"/>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质保期限</w:t>
            </w:r>
          </w:p>
        </w:tc>
        <w:tc>
          <w:tcPr>
            <w:tcW w:w="2063" w:type="dxa"/>
            <w:gridSpan w:val="2"/>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总价</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（元）</w:t>
            </w:r>
          </w:p>
        </w:tc>
        <w:tc>
          <w:tcPr>
            <w:tcW w:w="1741" w:type="dxa"/>
            <w:gridSpan w:val="2"/>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811" w:type="dxa"/>
          <w:trHeight w:val="425" w:hRule="atLeast"/>
        </w:trPr>
        <w:tc>
          <w:tcPr>
            <w:tcW w:w="700" w:type="dxa"/>
            <w:tcBorders>
              <w:top w:val="nil"/>
              <w:left w:val="single" w:color="000000" w:sz="4" w:space="0"/>
              <w:bottom w:val="single" w:color="000000" w:sz="4" w:space="0"/>
              <w:right w:val="single" w:color="000000" w:sz="4" w:space="0"/>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1</w:t>
            </w:r>
          </w:p>
        </w:tc>
        <w:tc>
          <w:tcPr>
            <w:tcW w:w="1340" w:type="dxa"/>
            <w:tcBorders>
              <w:top w:val="nil"/>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护理教学信息服务</w:t>
            </w:r>
          </w:p>
        </w:tc>
        <w:tc>
          <w:tcPr>
            <w:tcW w:w="1340" w:type="dxa"/>
            <w:tcBorders>
              <w:top w:val="nil"/>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518" w:type="dxa"/>
            <w:gridSpan w:val="2"/>
            <w:tcBorders>
              <w:top w:val="nil"/>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default"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3年</w:t>
            </w:r>
          </w:p>
        </w:tc>
        <w:tc>
          <w:tcPr>
            <w:tcW w:w="2063" w:type="dxa"/>
            <w:gridSpan w:val="2"/>
            <w:tcBorders>
              <w:top w:val="nil"/>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741" w:type="dxa"/>
            <w:gridSpan w:val="2"/>
            <w:tcBorders>
              <w:top w:val="nil"/>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trPr>
        <w:tc>
          <w:tcPr>
            <w:tcW w:w="9513" w:type="dxa"/>
            <w:gridSpan w:val="10"/>
            <w:tcBorders>
              <w:top w:val="nil"/>
              <w:left w:val="single" w:color="000000" w:sz="4" w:space="0"/>
              <w:bottom w:val="single" w:color="000000" w:sz="4" w:space="0"/>
              <w:right w:val="single" w:color="000000" w:sz="4" w:space="0"/>
            </w:tcBorders>
            <w:noWrap/>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合计（人民币）：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9513" w:type="dxa"/>
            <w:gridSpan w:val="10"/>
            <w:tcBorders>
              <w:top w:val="single" w:color="000000" w:sz="4" w:space="0"/>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备注：报价单须加盖公章并密封，封口必须盖骑缝章。</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此报价包含税价及安装调试等全部费用。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9513" w:type="dxa"/>
            <w:gridSpan w:val="10"/>
            <w:tcBorders>
              <w:top w:val="nil"/>
              <w:left w:val="nil"/>
              <w:bottom w:val="nil"/>
              <w:right w:val="nil"/>
            </w:tcBorders>
            <w:vAlign w:val="bottom"/>
          </w:tcPr>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0" w:firstLineChars="1600"/>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公司名称（加盖公章）：</w:t>
            </w:r>
          </w:p>
        </w:tc>
      </w:tr>
    </w:tbl>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0"/>
          <w:sz w:val="32"/>
          <w:szCs w:val="32"/>
          <w:lang w:val="en-US" w:eastAsia="zh-CN" w:bidi="ar-SA"/>
        </w:rPr>
        <w:t xml:space="preserve">                            </w:t>
      </w:r>
    </w:p>
    <w:sectPr>
      <w:pgSz w:w="11906" w:h="16838"/>
      <w:pgMar w:top="1440" w:right="1800" w:bottom="1440" w:left="1800"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6B3710-8692-4071-A112-06979D99959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4952E4D4-09BD-42D9-B57F-8A1B350EC9A5}"/>
  </w:font>
  <w:font w:name="方正小标宋_GBK">
    <w:panose1 w:val="03000509000000000000"/>
    <w:charset w:val="86"/>
    <w:family w:val="auto"/>
    <w:pitch w:val="default"/>
    <w:sig w:usb0="00000001" w:usb1="080E0000" w:usb2="00000000" w:usb3="00000000" w:csb0="00040000" w:csb1="00000000"/>
    <w:embedRegular r:id="rId3" w:fontKey="{23905E79-BA81-4EAB-ADEA-EE1931B03F1D}"/>
  </w:font>
  <w:font w:name="方正仿宋_GBK">
    <w:panose1 w:val="03000509000000000000"/>
    <w:charset w:val="86"/>
    <w:family w:val="auto"/>
    <w:pitch w:val="default"/>
    <w:sig w:usb0="00000001" w:usb1="080E0000" w:usb2="00000000" w:usb3="00000000" w:csb0="00040000" w:csb1="00000000"/>
    <w:embedRegular r:id="rId4" w:fontKey="{713717A5-E9BD-4C40-B3A3-136067E706FE}"/>
  </w:font>
  <w:font w:name="方正仿宋_GB2312">
    <w:panose1 w:val="02000000000000000000"/>
    <w:charset w:val="86"/>
    <w:family w:val="auto"/>
    <w:pitch w:val="default"/>
    <w:sig w:usb0="A00002BF" w:usb1="184F6CFA" w:usb2="00000012" w:usb3="00000000" w:csb0="00040001" w:csb1="00000000"/>
    <w:embedRegular r:id="rId5" w:fontKey="{D5733398-0608-48C7-BF6D-3461DF6C5B0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A8039A"/>
    <w:multiLevelType w:val="singleLevel"/>
    <w:tmpl w:val="F8A8039A"/>
    <w:lvl w:ilvl="0" w:tentative="0">
      <w:start w:val="1"/>
      <w:numFmt w:val="chineseCounting"/>
      <w:suff w:val="nothing"/>
      <w:lvlText w:val="%1、"/>
      <w:lvlJc w:val="left"/>
      <w:pPr>
        <w:widowControl/>
        <w:textAlignment w:val="baseline"/>
      </w:pPr>
      <w:rPr>
        <w:rStyle w:val="1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ompat>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CA409B"/>
    <w:rsid w:val="255543B8"/>
    <w:rsid w:val="35F233EA"/>
    <w:rsid w:val="3BD61956"/>
    <w:rsid w:val="44340E0E"/>
    <w:rsid w:val="539570AB"/>
    <w:rsid w:val="68FB56A2"/>
    <w:rsid w:val="71A54A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3"/>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3">
    <w:name w:val="heading 4"/>
    <w:basedOn w:val="1"/>
    <w:next w:val="1"/>
    <w:semiHidden/>
    <w:unhideWhenUsed/>
    <w:qFormat/>
    <w:uiPriority w:val="9"/>
    <w:pPr>
      <w:widowControl/>
      <w:spacing w:before="100" w:beforeAutospacing="1" w:after="100" w:afterAutospacing="1"/>
      <w:jc w:val="left"/>
      <w:outlineLvl w:val="3"/>
    </w:pPr>
    <w:rPr>
      <w:rFonts w:ascii="宋体" w:hAnsi="宋体" w:cs="宋体"/>
      <w:kern w:val="0"/>
      <w:sz w:val="24"/>
      <w:szCs w:val="24"/>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TOC1"/>
    <w:next w:val="1"/>
    <w:qFormat/>
    <w:uiPriority w:val="0"/>
    <w:pPr>
      <w:spacing w:before="120" w:after="120"/>
      <w:jc w:val="left"/>
      <w:textAlignment w:val="baseline"/>
    </w:pPr>
    <w:rPr>
      <w:rFonts w:ascii="Times New Roman" w:hAnsi="Times New Roman" w:eastAsia="宋体" w:cs="Times New Roman"/>
      <w:b/>
      <w:bCs/>
      <w:caps/>
      <w:kern w:val="2"/>
      <w:sz w:val="20"/>
      <w:szCs w:val="20"/>
      <w:lang w:val="en-US" w:eastAsia="zh-CN" w:bidi="ar-SA"/>
    </w:rPr>
  </w:style>
  <w:style w:type="paragraph" w:styleId="4">
    <w:name w:val="Date"/>
    <w:basedOn w:val="1"/>
    <w:next w:val="1"/>
    <w:link w:val="18"/>
    <w:qFormat/>
    <w:uiPriority w:val="0"/>
    <w:pPr>
      <w:ind w:left="100" w:leftChars="2500"/>
      <w:jc w:val="both"/>
      <w:textAlignment w:val="baseline"/>
    </w:pPr>
  </w:style>
  <w:style w:type="paragraph" w:styleId="5">
    <w:name w:val="footer"/>
    <w:basedOn w:val="1"/>
    <w:link w:val="14"/>
    <w:qFormat/>
    <w:uiPriority w:val="0"/>
    <w:pPr>
      <w:tabs>
        <w:tab w:val="center" w:pos="4153"/>
        <w:tab w:val="right" w:pos="8306"/>
      </w:tabs>
      <w:snapToGrid w:val="0"/>
      <w:jc w:val="left"/>
      <w:textAlignment w:val="baseline"/>
    </w:pPr>
    <w:rPr>
      <w:rFonts w:ascii="Times New Roman" w:hAnsi="Times New Roman"/>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Times New Roman" w:hAnsi="Times New Roman"/>
      <w:kern w:val="2"/>
      <w:sz w:val="18"/>
      <w:szCs w:val="18"/>
      <w:lang w:val="en-US" w:eastAsia="zh-CN" w:bidi="ar-SA"/>
    </w:rPr>
  </w:style>
  <w:style w:type="paragraph" w:styleId="7">
    <w:name w:val="Normal (Web)"/>
    <w:basedOn w:val="1"/>
    <w:qFormat/>
    <w:uiPriority w:val="99"/>
    <w:pPr>
      <w:spacing w:beforeAutospacing="1" w:afterAutospacing="1"/>
      <w:jc w:val="left"/>
    </w:pPr>
    <w:rPr>
      <w:rFonts w:cs="Times New Roman"/>
      <w:kern w:val="0"/>
      <w:sz w:val="24"/>
    </w:rPr>
  </w:style>
  <w:style w:type="paragraph" w:customStyle="1" w:styleId="10">
    <w:name w:val="Heading4"/>
    <w:basedOn w:val="1"/>
    <w:next w:val="1"/>
    <w:qFormat/>
    <w:uiPriority w:val="0"/>
    <w:pPr>
      <w:spacing w:before="100" w:beforeAutospacing="1" w:after="100" w:afterAutospacing="1"/>
      <w:jc w:val="both"/>
      <w:textAlignment w:val="baseline"/>
    </w:pPr>
  </w:style>
  <w:style w:type="character" w:customStyle="1" w:styleId="11">
    <w:name w:val="NormalCharacter"/>
    <w:link w:val="1"/>
    <w:qFormat/>
    <w:uiPriority w:val="0"/>
  </w:style>
  <w:style w:type="table" w:customStyle="1" w:styleId="12">
    <w:name w:val="TableNormal"/>
    <w:qFormat/>
    <w:uiPriority w:val="0"/>
  </w:style>
  <w:style w:type="character" w:customStyle="1" w:styleId="13">
    <w:name w:val="AnnotationReference"/>
    <w:link w:val="1"/>
    <w:semiHidden/>
    <w:qFormat/>
    <w:uiPriority w:val="0"/>
    <w:rPr>
      <w:sz w:val="21"/>
      <w:szCs w:val="21"/>
    </w:rPr>
  </w:style>
  <w:style w:type="character" w:customStyle="1" w:styleId="14">
    <w:name w:val="UserStyle_0"/>
    <w:link w:val="5"/>
    <w:qFormat/>
    <w:uiPriority w:val="0"/>
    <w:rPr>
      <w:rFonts w:ascii="Times New Roman" w:hAnsi="Times New Roman"/>
      <w:kern w:val="2"/>
      <w:sz w:val="18"/>
      <w:szCs w:val="18"/>
    </w:rPr>
  </w:style>
  <w:style w:type="character" w:customStyle="1" w:styleId="15">
    <w:name w:val="UserStyle_1"/>
    <w:link w:val="6"/>
    <w:qFormat/>
    <w:uiPriority w:val="0"/>
    <w:rPr>
      <w:rFonts w:ascii="Times New Roman" w:hAnsi="Times New Roman"/>
      <w:kern w:val="2"/>
      <w:sz w:val="18"/>
      <w:szCs w:val="18"/>
    </w:rPr>
  </w:style>
  <w:style w:type="character" w:customStyle="1" w:styleId="16">
    <w:name w:val="UserStyle_2"/>
    <w:basedOn w:val="11"/>
    <w:link w:val="17"/>
    <w:semiHidden/>
    <w:qFormat/>
    <w:uiPriority w:val="0"/>
    <w:rPr>
      <w:rFonts w:ascii="宋体" w:hAnsi="Courier New"/>
      <w:kern w:val="2"/>
      <w:sz w:val="21"/>
      <w:szCs w:val="21"/>
    </w:rPr>
  </w:style>
  <w:style w:type="paragraph" w:customStyle="1" w:styleId="17">
    <w:name w:val="PlainText"/>
    <w:basedOn w:val="1"/>
    <w:link w:val="16"/>
    <w:qFormat/>
    <w:uiPriority w:val="0"/>
    <w:pPr>
      <w:jc w:val="both"/>
      <w:textAlignment w:val="baseline"/>
    </w:pPr>
    <w:rPr>
      <w:rFonts w:ascii="宋体" w:hAnsi="Courier New"/>
      <w:kern w:val="2"/>
      <w:sz w:val="21"/>
      <w:szCs w:val="21"/>
      <w:lang w:val="en-US" w:eastAsia="zh-CN" w:bidi="ar-SA"/>
    </w:rPr>
  </w:style>
  <w:style w:type="character" w:customStyle="1" w:styleId="18">
    <w:name w:val="UserStyle_3"/>
    <w:link w:val="4"/>
    <w:semiHidden/>
    <w:qFormat/>
    <w:uiPriority w:val="0"/>
    <w:rPr>
      <w:rFonts w:ascii="Times New Roman" w:hAnsi="Times New Roman"/>
      <w:kern w:val="2"/>
      <w:sz w:val="21"/>
      <w:szCs w:val="24"/>
    </w:rPr>
  </w:style>
  <w:style w:type="paragraph" w:customStyle="1" w:styleId="19">
    <w:name w:val="HtmlNormal"/>
    <w:basedOn w:val="1"/>
    <w:qFormat/>
    <w:uiPriority w:val="0"/>
    <w:pPr>
      <w:spacing w:before="100" w:beforeAutospacing="1" w:after="100" w:afterAutospacing="1"/>
      <w:ind w:left="0" w:right="0"/>
      <w:jc w:val="left"/>
      <w:textAlignment w:val="baseline"/>
    </w:pPr>
    <w:rPr>
      <w:rFonts w:ascii="Times New Roman" w:hAnsi="Times New Roman"/>
      <w:kern w:val="0"/>
      <w:sz w:val="24"/>
      <w:szCs w:val="24"/>
      <w:lang w:val="en-US" w:eastAsia="zh-CN"/>
    </w:rPr>
  </w:style>
  <w:style w:type="paragraph" w:customStyle="1" w:styleId="20">
    <w:name w:val="AnnotationText"/>
    <w:basedOn w:val="1"/>
    <w:qFormat/>
    <w:uiPriority w:val="0"/>
    <w:pPr>
      <w:jc w:val="left"/>
      <w:textAlignment w:val="baseline"/>
    </w:pPr>
  </w:style>
  <w:style w:type="paragraph" w:customStyle="1" w:styleId="21">
    <w:name w:val="UserStyle_4"/>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customStyle="1" w:styleId="22">
    <w:name w:val="UserStyle_5"/>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customStyle="1" w:styleId="23">
    <w:name w:val="UserStyle_6"/>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 w:type="paragraph" w:customStyle="1" w:styleId="24">
    <w:name w:val="UserStyle_7"/>
    <w:basedOn w:val="17"/>
    <w:qFormat/>
    <w:uiPriority w:val="0"/>
    <w:pPr>
      <w:jc w:val="both"/>
      <w:textAlignment w:val="baseline"/>
    </w:pPr>
  </w:style>
  <w:style w:type="paragraph" w:customStyle="1" w:styleId="25">
    <w:name w:val="UserStyle_8"/>
    <w:basedOn w:val="1"/>
    <w:qFormat/>
    <w:uiPriority w:val="0"/>
    <w:pPr>
      <w:ind w:firstLine="420" w:firstLineChars="200"/>
      <w:jc w:val="both"/>
      <w:textAlignment w:val="baseline"/>
    </w:pPr>
  </w:style>
  <w:style w:type="table" w:customStyle="1" w:styleId="26">
    <w:name w:val="TableGrid"/>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21</TotalTime>
  <ScaleCrop>false</ScaleCrop>
  <LinksUpToDate>false</LinksUpToDate>
  <Application>WPS Office_11.1.0.10700_F1E327BC-269C-435d-A152-05C5408002CA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2021-08-20T03:43:00Z</dcterms:created>
  <dc:creator>51637</dc:creator>
  <cp:lastModifiedBy>svfly</cp:lastModifiedBy>
  <cp:lastPrinted>2021-09-03T02:07:06Z</cp:lastPrinted>
  <dcterms:modified xsi:type="dcterms:W3CDTF">2021-09-03T02:09:28Z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FE07F935FFF14BAEAF189D2D641B1703</vt:lpwstr>
  </property>
</Properties>
</file>