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ascii="宋体" w:hAnsi="宋体"/>
          <w:b/>
          <w:bCs/>
          <w:sz w:val="36"/>
          <w:szCs w:val="36"/>
        </w:rPr>
      </w:pPr>
      <w:bookmarkStart w:id="0" w:name="_Toc31045"/>
      <w:bookmarkStart w:id="1" w:name="_Toc18388"/>
      <w:r>
        <w:rPr>
          <w:rFonts w:hint="eastAsia" w:ascii="方正小标宋简体" w:hAnsi="方正小标宋简体" w:eastAsia="方正小标宋简体" w:cs="方正小标宋简体"/>
          <w:b w:val="0"/>
          <w:bCs w:val="0"/>
          <w:sz w:val="44"/>
          <w:szCs w:val="44"/>
          <w:lang w:val="en-US" w:eastAsia="zh-CN"/>
        </w:rPr>
        <w:t>需求内容-高压配电系统年检</w:t>
      </w:r>
      <w:bookmarkEnd w:id="0"/>
      <w:bookmarkEnd w:id="1"/>
      <w:r>
        <w:rPr>
          <w:rFonts w:hint="eastAsia" w:ascii="方正小标宋简体" w:hAnsi="方正小标宋简体" w:eastAsia="方正小标宋简体" w:cs="方正小标宋简体"/>
          <w:b w:val="0"/>
          <w:bCs w:val="0"/>
          <w:sz w:val="44"/>
          <w:szCs w:val="44"/>
          <w:lang w:val="en-US" w:eastAsia="zh-CN"/>
        </w:rPr>
        <w:t>服务</w:t>
      </w:r>
    </w:p>
    <w:p>
      <w:pPr>
        <w:pStyle w:val="4"/>
        <w:adjustRightInd w:val="0"/>
        <w:snapToGrid w:val="0"/>
        <w:spacing w:line="360" w:lineRule="auto"/>
        <w:ind w:firstLine="562" w:firstLineChars="200"/>
        <w:outlineLvl w:val="1"/>
        <w:rPr>
          <w:rFonts w:hint="eastAsia" w:ascii="宋体" w:hAnsi="宋体" w:cs="宋体"/>
          <w:b/>
          <w:sz w:val="28"/>
          <w:szCs w:val="28"/>
        </w:rPr>
      </w:pPr>
      <w:bookmarkStart w:id="2" w:name="_Toc21060"/>
      <w:bookmarkStart w:id="3" w:name="_Toc163556473"/>
    </w:p>
    <w:p>
      <w:pPr>
        <w:ind w:left="0" w:leftChars="0" w:firstLine="0" w:firstLineChars="0"/>
        <w:rPr>
          <w:rFonts w:hint="eastAsia" w:ascii="黑体" w:hAnsi="黑体" w:eastAsia="黑体" w:cs="黑体"/>
          <w:sz w:val="32"/>
          <w:szCs w:val="32"/>
          <w:lang w:eastAsia="zh-CN"/>
        </w:rPr>
      </w:pPr>
      <w:r>
        <w:rPr>
          <w:rFonts w:hint="eastAsia" w:ascii="黑体" w:hAnsi="黑体" w:eastAsia="黑体" w:cs="黑体"/>
          <w:sz w:val="32"/>
          <w:szCs w:val="32"/>
          <w:lang w:eastAsia="zh-CN"/>
        </w:rPr>
        <w:t>一、项目规模及目的</w:t>
      </w:r>
      <w:bookmarkEnd w:id="2"/>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1、项目地点：厦门医学院附属口腔医院（总院：湖里区吕岭路</w:t>
      </w:r>
      <w:r>
        <w:rPr>
          <w:rFonts w:hint="eastAsia" w:ascii="方正仿宋_GB2312" w:hAnsi="方正仿宋_GB2312" w:eastAsia="方正仿宋_GB2312" w:cs="方正仿宋_GB2312"/>
          <w:sz w:val="32"/>
          <w:szCs w:val="32"/>
          <w:lang w:val="en-US" w:eastAsia="zh-CN"/>
        </w:rPr>
        <w:t>1309号；分院：思明区斗西路2号</w:t>
      </w:r>
      <w:r>
        <w:rPr>
          <w:rFonts w:hint="eastAsia" w:ascii="方正仿宋_GB2312" w:hAnsi="方正仿宋_GB2312" w:eastAsia="方正仿宋_GB2312" w:cs="方正仿宋_GB2312"/>
          <w:sz w:val="32"/>
          <w:szCs w:val="32"/>
          <w:lang w:eastAsia="zh-CN"/>
        </w:rPr>
        <w:t>）</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 xml:space="preserve">2、项目概况： </w:t>
      </w:r>
    </w:p>
    <w:tbl>
      <w:tblPr>
        <w:tblStyle w:val="5"/>
        <w:tblW w:w="9345" w:type="dxa"/>
        <w:tblInd w:w="93" w:type="dxa"/>
        <w:shd w:val="clear" w:color="auto" w:fill="auto"/>
        <w:tblLayout w:type="autofit"/>
        <w:tblCellMar>
          <w:top w:w="0" w:type="dxa"/>
          <w:left w:w="108" w:type="dxa"/>
          <w:bottom w:w="0" w:type="dxa"/>
          <w:right w:w="108" w:type="dxa"/>
        </w:tblCellMar>
      </w:tblPr>
      <w:tblGrid>
        <w:gridCol w:w="956"/>
        <w:gridCol w:w="2743"/>
        <w:gridCol w:w="3734"/>
        <w:gridCol w:w="956"/>
        <w:gridCol w:w="956"/>
      </w:tblGrid>
      <w:tr>
        <w:tblPrEx>
          <w:shd w:val="clear" w:color="auto" w:fill="auto"/>
          <w:tblCellMar>
            <w:top w:w="0" w:type="dxa"/>
            <w:left w:w="108" w:type="dxa"/>
            <w:bottom w:w="0" w:type="dxa"/>
            <w:right w:w="108" w:type="dxa"/>
          </w:tblCellMar>
        </w:tblPrEx>
        <w:trPr>
          <w:trHeight w:val="400" w:hRule="atLeast"/>
        </w:trPr>
        <w:tc>
          <w:tcPr>
            <w:tcW w:w="9345" w:type="dxa"/>
            <w:gridSpan w:val="5"/>
            <w:tcBorders>
              <w:top w:val="nil"/>
              <w:left w:val="nil"/>
              <w:bottom w:val="nil"/>
              <w:right w:val="nil"/>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厦门医学院附属口腔医院（蔡塘院区）</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试验项目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设备型号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数量</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VEX-12/630-25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5</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电压互感器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JDZ10-10C1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电流互感器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LZZBJ9-12/150B/2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5</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避雷器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HY5WS2-17/50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母线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ZZS(KYN96)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YJV22-3*70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SCB10-500/10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继保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SPAJ-140C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5</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闭锁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接地网测试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低压开关柜试验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10</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直流屏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gridSpan w:val="5"/>
            <w:tcBorders>
              <w:top w:val="nil"/>
              <w:left w:val="nil"/>
              <w:bottom w:val="nil"/>
              <w:right w:val="nil"/>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val="en-US" w:eastAsia="zh-CN"/>
              </w:rPr>
            </w:pPr>
          </w:p>
          <w:p>
            <w:pPr>
              <w:ind w:left="0" w:leftChars="0" w:firstLine="0" w:firstLineChars="0"/>
              <w:jc w:val="center"/>
              <w:rPr>
                <w:rFonts w:hint="eastAsia" w:ascii="方正仿宋_GB2312" w:hAnsi="方正仿宋_GB2312" w:eastAsia="方正仿宋_GB2312" w:cs="方正仿宋_GB2312"/>
                <w:sz w:val="32"/>
                <w:szCs w:val="32"/>
                <w:lang w:eastAsia="zh-CN"/>
              </w:rPr>
            </w:pPr>
            <w:bookmarkStart w:id="11" w:name="_GoBack"/>
            <w:bookmarkEnd w:id="11"/>
            <w:r>
              <w:rPr>
                <w:rFonts w:hint="eastAsia" w:ascii="方正仿宋_GB2312" w:hAnsi="方正仿宋_GB2312" w:eastAsia="方正仿宋_GB2312" w:cs="方正仿宋_GB2312"/>
                <w:sz w:val="32"/>
                <w:szCs w:val="32"/>
                <w:lang w:val="en-US" w:eastAsia="zh-CN"/>
              </w:rPr>
              <w:t>厦门医学院附属口腔医院（斗西院区）</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试验项目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设备型号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数量</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FZRN25-12D/T200-31.5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电压互感器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JDZ-10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电流互感器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LFS-10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2</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母线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HXGN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YJV22-3*50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S11-M-500/10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闭锁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接地网测试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低压开关柜试验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6</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直流屏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w:t>
            </w:r>
          </w:p>
        </w:tc>
      </w:tr>
    </w:tbl>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检测结果需出示检测报告并盖有试验专用章，常规配件需更换的按实结算。</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3、目的：为了避免因设备老化、重载或其他安全隐患引发的故障，即对医院的配电设备做基础保障。</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4、项目完成期：根据采购人现场确认；</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5、项目服务期限：本次采购的服务年限为3年。</w:t>
      </w:r>
    </w:p>
    <w:p>
      <w:pPr>
        <w:ind w:left="0" w:leftChars="0" w:firstLine="0" w:firstLineChars="0"/>
        <w:rPr>
          <w:rFonts w:hint="eastAsia" w:ascii="黑体" w:hAnsi="黑体" w:eastAsia="黑体" w:cs="黑体"/>
          <w:sz w:val="32"/>
          <w:szCs w:val="32"/>
          <w:lang w:eastAsia="zh-CN"/>
        </w:rPr>
      </w:pPr>
      <w:bookmarkStart w:id="4" w:name="_Toc22967"/>
      <w:r>
        <w:rPr>
          <w:rFonts w:hint="eastAsia" w:ascii="黑体" w:hAnsi="黑体" w:eastAsia="黑体" w:cs="黑体"/>
          <w:sz w:val="32"/>
          <w:szCs w:val="32"/>
          <w:lang w:eastAsia="zh-CN"/>
        </w:rPr>
        <w:t>二、技术要求</w:t>
      </w:r>
      <w:bookmarkEnd w:id="4"/>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 根据《电力设备预防性试验规程》（DL/T 596-1996）及《福建电力有限公司电力设备交接及预防性试验规程（试行）》（Q/FJG10029-2004）等相关规定，对高压设备年检的内容如下：</w:t>
      </w:r>
    </w:p>
    <w:tbl>
      <w:tblPr>
        <w:tblStyle w:val="5"/>
        <w:tblW w:w="8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979"/>
        <w:gridCol w:w="4318"/>
        <w:gridCol w:w="1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项目编号</w:t>
            </w:r>
          </w:p>
        </w:tc>
        <w:tc>
          <w:tcPr>
            <w:tcW w:w="197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项检测名称</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检测项目</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变压器</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测量绕组绝缘电阻、吸收比</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测量绕组的直流电阻</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铁芯绝缘电阻（仅干式变需做此项目）</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测温装置及其二次回路检查试验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高低压侧引线头的拆除和装复</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断路器</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分、合闸线圈动作电压测试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left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left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分、合闸线圈直流电阻测试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交流耐压试验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回路电阻试验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绝缘电阻测试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继电保护校验</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保护定值检查及校验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二次回路的检查</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元器件外观检查</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电压互感器</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直流电阻试验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交流耐压试验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绝缘电阻测试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避雷器</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0.75Ue的泄漏电流</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绝缘电阻试验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1mA下的电压值试验</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6</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10KVA高压</w:t>
            </w:r>
          </w:p>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电缆试验</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绝缘电阻测试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绝缘电阻吸收比测试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7</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高压母线试验</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绝缘电阻测试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高压熔断器导通性测试</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8</w:t>
            </w:r>
          </w:p>
        </w:tc>
        <w:tc>
          <w:tcPr>
            <w:tcW w:w="1979" w:type="dxa"/>
            <w:vMerge w:val="restart"/>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高压开关柜的联锁试验</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变压器网门与馈线断路器的联锁功能检查</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进线柜与计量柜的联锁功能检查</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1979" w:type="dxa"/>
            <w:vMerge w:val="continue"/>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进线与母联开关的联锁功能</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9</w:t>
            </w:r>
          </w:p>
        </w:tc>
        <w:tc>
          <w:tcPr>
            <w:tcW w:w="197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开关柜五防闭锁试验</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开关、刀闸、柜门之间防误闭锁功能</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10</w:t>
            </w:r>
          </w:p>
        </w:tc>
        <w:tc>
          <w:tcPr>
            <w:tcW w:w="197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安全工器具</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安全工器具检测</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11</w:t>
            </w:r>
          </w:p>
        </w:tc>
        <w:tc>
          <w:tcPr>
            <w:tcW w:w="197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其他</w:t>
            </w:r>
          </w:p>
        </w:tc>
        <w:tc>
          <w:tcPr>
            <w:tcW w:w="4318"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高压柜及变压器设备元器件外观检查、螺丝、螺栓固定，卫生清洁</w:t>
            </w:r>
          </w:p>
        </w:tc>
        <w:tc>
          <w:tcPr>
            <w:tcW w:w="1259"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rPr>
                <w:rFonts w:hint="eastAsia" w:ascii="方正仿宋_GB2312" w:hAnsi="方正仿宋_GB2312" w:eastAsia="方正仿宋_GB2312" w:cs="方正仿宋_GB2312"/>
                <w:sz w:val="32"/>
                <w:szCs w:val="32"/>
                <w:lang w:eastAsia="zh-CN"/>
              </w:rPr>
            </w:pPr>
          </w:p>
        </w:tc>
      </w:tr>
    </w:tbl>
    <w:p>
      <w:pPr>
        <w:ind w:left="0" w:leftChars="0" w:firstLine="643"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sz w:val="32"/>
          <w:szCs w:val="32"/>
          <w:lang w:eastAsia="zh-CN"/>
        </w:rPr>
        <w:t>备注：年检后提供厦门供电公司认可的高压年检报告书，年检后负责高压设备及时送电直至正常运行为止。</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 质量服务要求</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2.1、电力设备年检预试应保证用户单位正常用电，该工程要求供应商根据采购人用电情况分时段完成调试及联动。</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2.2、本项目不接受联合体参与磋商，项目不得转包，供应商需提供调试及联动方案和应急方案。</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2.3、试验合格后，出具合格试验报告 ，如有问题需提供解决方案并参与解决。 试验报告需送供电公司并有备案的记录。</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 xml:space="preserve">2.4、年检后的一个年检周期内提供相应的售后服务。 </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 xml:space="preserve">2.5、提供所有检测项目的国家标准和行业规定。 </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2.6、年检预试工作中，供应商应采取足够的安全保护措施，并做到安全生产。如因供应商的原因而造成的一切安全责任事故，由供应商自行承担，采购人对此不承担任何责任和义务。如因供应商的原因而给采购人造成损失的，由供应商承担全部赔偿责任。</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2.7、配件（如螺丝、堵泥等）应提供免费赠送，年检发现原有堵泥脱落或孔洞等必须进行封堵。</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2.8、需协助采购人到供电公司办理外单位停电申请手续。</w:t>
      </w:r>
    </w:p>
    <w:p>
      <w:pPr>
        <w:ind w:left="0" w:leftChars="0" w:firstLine="643" w:firstLineChars="200"/>
        <w:rPr>
          <w:rFonts w:hint="eastAsia" w:ascii="方正仿宋_GB2312" w:hAnsi="方正仿宋_GB2312" w:eastAsia="方正仿宋_GB2312" w:cs="方正仿宋_GB2312"/>
          <w:b/>
          <w:bCs/>
          <w:sz w:val="32"/>
          <w:szCs w:val="32"/>
          <w:lang w:eastAsia="zh-CN"/>
        </w:rPr>
      </w:pPr>
      <w:r>
        <w:rPr>
          <w:rFonts w:hint="eastAsia" w:ascii="方正仿宋_GB2312" w:hAnsi="方正仿宋_GB2312" w:eastAsia="方正仿宋_GB2312" w:cs="方正仿宋_GB2312"/>
          <w:b/>
          <w:bCs/>
          <w:sz w:val="32"/>
          <w:szCs w:val="32"/>
          <w:lang w:eastAsia="zh-CN"/>
        </w:rPr>
        <w:t>2.9、供应商应备有低压发电车，并提供发电车的行驶证或采购合同或者租赁合同复印件。</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2.10、如采购人配电室进线电缆需要试验期间出现故障需要保障到位时，供应商应负责办理与施工相关手续。</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2.11、采购人在合同期限内特殊保电或天气时，应标人应免费提供技术支撑。</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2.12、供应商应在合同期限内按安全工器具试验周期免费提供检测。</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2.13、供应商能够提供局放、红外线成像测温等专业隐患检测服务能力。</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2.14、向采购人提供供用电业务咨询、技术指导。</w:t>
      </w:r>
    </w:p>
    <w:p>
      <w:pPr>
        <w:ind w:left="0" w:leftChars="0" w:firstLine="0" w:firstLineChars="0"/>
        <w:rPr>
          <w:rFonts w:hint="eastAsia" w:ascii="黑体" w:hAnsi="黑体" w:eastAsia="黑体" w:cs="黑体"/>
          <w:sz w:val="32"/>
          <w:szCs w:val="32"/>
          <w:lang w:eastAsia="zh-CN"/>
        </w:rPr>
      </w:pPr>
      <w:bookmarkStart w:id="5" w:name="_Toc32329"/>
      <w:r>
        <w:rPr>
          <w:rFonts w:hint="eastAsia" w:ascii="黑体" w:hAnsi="黑体" w:eastAsia="黑体" w:cs="黑体"/>
          <w:sz w:val="32"/>
          <w:szCs w:val="32"/>
          <w:lang w:eastAsia="zh-CN"/>
        </w:rPr>
        <w:t>三、注意事项</w:t>
      </w:r>
      <w:bookmarkEnd w:id="5"/>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1、施工单位在施工前要严格履行有关部门审批手续，经审核具备施工条件后方可施工。</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2、应随时接受管理部门的检查，发现施工中存在交通隐患及时告之施工单位，要求其立即整改。</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3、施工时现场的警告标志、标牌设置必须符合国家标准。</w:t>
      </w:r>
    </w:p>
    <w:bookmarkEnd w:id="3"/>
    <w:p>
      <w:pPr>
        <w:ind w:left="0" w:leftChars="0" w:firstLine="0" w:firstLineChars="0"/>
        <w:rPr>
          <w:rFonts w:hint="eastAsia" w:ascii="黑体" w:hAnsi="黑体" w:eastAsia="黑体" w:cs="黑体"/>
          <w:sz w:val="32"/>
          <w:szCs w:val="32"/>
          <w:lang w:eastAsia="zh-CN"/>
        </w:rPr>
      </w:pPr>
      <w:bookmarkStart w:id="6" w:name="_Toc4677"/>
      <w:bookmarkStart w:id="7" w:name="_Toc16079"/>
      <w:bookmarkStart w:id="8" w:name="_Toc5929"/>
      <w:bookmarkStart w:id="9" w:name="_Toc475352651"/>
      <w:r>
        <w:rPr>
          <w:rFonts w:hint="eastAsia" w:ascii="黑体" w:hAnsi="黑体" w:eastAsia="黑体" w:cs="黑体"/>
          <w:sz w:val="32"/>
          <w:szCs w:val="32"/>
          <w:lang w:eastAsia="zh-CN"/>
        </w:rPr>
        <w:t>四、技术和商务响应要求</w:t>
      </w:r>
      <w:bookmarkEnd w:id="6"/>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1、供应商须提供项目的具体实施方案和工作进度计划。</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2、供应商需提供企业供货、履约能力基本情况的说明，以及企业的市场信誉、获奖情况等的有效证明文件。或提供与其他用户签订的合同及设备实施完成的确认函来证明）。</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3、供应商应具有良好的商业信誉和健全的财务会计制度，具有履行合同所必需的设备和专业技术能力，有依法缴纳税收和社会保障资金的良好记录。供应商应提供本企业财务报表以及资信状况的有效证明文件。</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4、供应商必须具有良好的商业信誉，有完善的售后服务机构和售后服务体系。</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5、报价响应文件至少应包含报价函、报价一览表、服务承诺、采购文件要求的其他资料等。</w:t>
      </w:r>
      <w:r>
        <w:rPr>
          <w:rFonts w:hint="eastAsia" w:ascii="方正仿宋_GB2312" w:hAnsi="方正仿宋_GB2312" w:eastAsia="方正仿宋_GB2312" w:cs="方正仿宋_GB2312"/>
          <w:sz w:val="32"/>
          <w:szCs w:val="32"/>
          <w:lang w:eastAsia="zh-CN"/>
        </w:rPr>
        <w:tab/>
      </w:r>
    </w:p>
    <w:p>
      <w:pPr>
        <w:ind w:left="0" w:leftChars="0" w:firstLine="0" w:firstLineChars="0"/>
        <w:rPr>
          <w:rFonts w:hint="eastAsia" w:ascii="黑体" w:hAnsi="黑体" w:eastAsia="黑体" w:cs="黑体"/>
          <w:sz w:val="32"/>
          <w:szCs w:val="32"/>
          <w:lang w:eastAsia="zh-CN"/>
        </w:rPr>
      </w:pPr>
      <w:bookmarkStart w:id="10" w:name="_Toc31209"/>
      <w:r>
        <w:rPr>
          <w:rFonts w:hint="eastAsia" w:ascii="黑体" w:hAnsi="黑体" w:eastAsia="黑体" w:cs="黑体"/>
          <w:sz w:val="32"/>
          <w:szCs w:val="32"/>
          <w:lang w:eastAsia="zh-CN"/>
        </w:rPr>
        <w:t>五、报价及付款方式</w:t>
      </w:r>
      <w:bookmarkEnd w:id="7"/>
      <w:bookmarkEnd w:id="8"/>
      <w:bookmarkEnd w:id="9"/>
      <w:bookmarkEnd w:id="10"/>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总报价为总包价，应包含可能涉及的货物材料价款、材料费、质检费、安装调试费、技术培训费、劳务费、缺陷期修复费、保险费、管理费、售后服务费、税费和利润等所有与完成本项目有关的费用（报价供应商可在分项报价表中详细列出报价，如果所列分项报价不含以上内容，则视为已含在总价中）</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2、报价人漏报的单价或每单价报价中漏报、少报的费用，视为此项费用已隐含在投标报价中，成交后不得再向采购人收取任何费用。</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5、本项目设有最高限价人民币</w:t>
      </w: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lang w:eastAsia="zh-CN"/>
        </w:rPr>
        <w:t>万元/3年，供应商的最终承诺报价不得最高限价，否则作无效报价处理。</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6、付款方式：每年在项目完成年检后，在采购人收到成交供应商提供厦门供电公司认可的高压年检报告书，且高压设备及时送电，正常运行后，支付当年的费用，即合同总价的1/3。</w:t>
      </w:r>
    </w:p>
    <w:p>
      <w:pPr>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六、供应商资格、资质要求</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1、供应商应具备《政府采购法》第二十二条规定的条件；</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1）具有独立承担民事责任的能力；</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2）具有良好的商业信誉和健全的财务会计制度；</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3）具有履行合同所必需的设备和专业技术能力；</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4）有依法交纳税收和社会保障资金的良好记录；</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5）参加政府采购活动前三年内，在经营活动中没有重大违法记录；</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6）法律、行政法规规定的其他条件。</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供应商参加政府采购活动前三年内未被列入“信用中国”网站(www.creditchina.gov.cn)黑名单（失信被执行人、重大税收违法案件当事人、政府采购严重违法失信行为记录名单）和“中国政府采购”网站（www.ccgp.gov.cn）政府采购严重违法失信行为记录名单（以投标截止当日查询结果为准）。</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3.具有承装（修、试）电力设施许可证（承试类四级及以上）；</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4.派遣试验人员须持有政府主管部门颁发的有效期内的电工进网作业许可证高压特种（高压试验）和高压特种（继电保护）电工证，并提供记载为本单位人员的证明（提供扫描件加盖公章）。</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5．供应商工商营业执照包含相应的经营范围；</w:t>
      </w:r>
    </w:p>
    <w:p>
      <w:pPr>
        <w:ind w:left="0" w:leftChars="0"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6．本项目不接受供应商以联合体形式参与磋商。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4F4C8F-F969-4C38-AA39-8D7D3E8BC13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9462804A-4092-48E8-9105-6CA7BB5B5F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AD2FE7"/>
    <w:rsid w:val="11361395"/>
    <w:rsid w:val="13900F8E"/>
    <w:rsid w:val="162C290E"/>
    <w:rsid w:val="28AD2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semiHidden/>
    <w:unhideWhenUsed/>
    <w:qFormat/>
    <w:uiPriority w:val="0"/>
    <w:pPr>
      <w:keepNext/>
      <w:keepLines/>
      <w:jc w:val="center"/>
      <w:outlineLvl w:val="1"/>
    </w:pPr>
    <w:rPr>
      <w:rFonts w:ascii="Arial" w:hAnsi="Arial"/>
      <w:b/>
      <w:sz w:val="24"/>
      <w:szCs w:val="2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widowControl/>
      <w:spacing w:before="25" w:after="25"/>
      <w:jc w:val="left"/>
    </w:pPr>
    <w:rPr>
      <w:rFonts w:ascii="Times" w:hAnsi="Times"/>
      <w:bCs/>
      <w:spacing w:val="10"/>
      <w:kern w:val="0"/>
      <w:sz w:val="24"/>
      <w:szCs w:val="20"/>
    </w:rPr>
  </w:style>
  <w:style w:type="paragraph" w:styleId="4">
    <w:name w:val="Normal (Web)"/>
    <w:basedOn w:val="1"/>
    <w:unhideWhenUsed/>
    <w:qFormat/>
    <w:uiPriority w:val="0"/>
    <w:rPr>
      <w:rFonts w:ascii="Times New Roman" w:hAnsi="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2021-08-26T01:01:00Z</dcterms:created>
  <dc:creator>知足常le</dc:creator>
  <cp:lastModifiedBy>Administrator</cp:lastModifiedBy>
  <cp:lastPrinted>2021-08-30T02:50:51Z</cp:lastPrinted>
  <dcterms:modified xsi:type="dcterms:W3CDTF">2021-08-30T02:50:54Z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CF6A3A15C49F4BD9A0BC6EB6831081ED</vt:lpwstr>
  </property>
</Properties>
</file>