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需求内容-等离子空气消毒机一批</w:t>
      </w:r>
    </w:p>
    <w:p>
      <w:pPr>
        <w:numPr>
          <w:ilvl w:val="0"/>
          <w:numId w:val="1"/>
        </w:numPr>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需求内容</w:t>
      </w:r>
    </w:p>
    <w:p>
      <w:pPr>
        <w:numPr>
          <w:ilvl w:val="0"/>
          <w:numId w:val="0"/>
        </w:numPr>
        <w:ind w:firstLine="640"/>
        <w:rPr>
          <w:rFonts w:hint="default"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医院疫情防控需要，我院拟在蔡塘总院901阶梯教室、902会议室安装等离子空气消毒机，本项目按设计施工安装一体化建设办理。</w:t>
      </w:r>
    </w:p>
    <w:p>
      <w:pPr>
        <w:numPr>
          <w:ilvl w:val="0"/>
          <w:numId w:val="1"/>
        </w:numPr>
        <w:rPr>
          <w:rFonts w:hint="eastAsia" w:ascii="黑体" w:hAnsi="黑体" w:eastAsia="黑体" w:cs="黑体"/>
          <w:sz w:val="32"/>
          <w:szCs w:val="32"/>
          <w:lang w:eastAsia="zh-CN"/>
        </w:rPr>
      </w:pPr>
      <w:r>
        <w:rPr>
          <w:rFonts w:hint="eastAsia" w:ascii="黑体" w:hAnsi="黑体" w:eastAsia="黑体" w:cs="黑体"/>
          <w:sz w:val="32"/>
          <w:szCs w:val="32"/>
          <w:lang w:eastAsia="zh-CN"/>
        </w:rPr>
        <w:t>技术参数</w:t>
      </w:r>
    </w:p>
    <w:p>
      <w:pPr>
        <w:numPr>
          <w:ilvl w:val="0"/>
          <w:numId w:val="2"/>
        </w:numPr>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rPr>
        <w:t>等离子体空气消毒机</w:t>
      </w: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lang w:val="en-US" w:eastAsia="zh-CN"/>
        </w:rPr>
        <w:t>柜式</w:t>
      </w:r>
      <w:r>
        <w:rPr>
          <w:rFonts w:hint="eastAsia" w:ascii="方正仿宋_GB2312" w:hAnsi="方正仿宋_GB2312" w:eastAsia="方正仿宋_GB2312" w:cs="方正仿宋_GB2312"/>
          <w:sz w:val="32"/>
          <w:szCs w:val="32"/>
          <w:lang w:eastAsia="zh-CN"/>
        </w:rPr>
        <w:t>）</w:t>
      </w:r>
    </w:p>
    <w:p>
      <w:pPr>
        <w:numPr>
          <w:ilvl w:val="0"/>
          <w:numId w:val="3"/>
        </w:numPr>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eastAsia="zh-CN"/>
        </w:rPr>
        <w:t>适用体积≥150</w:t>
      </w:r>
      <w:r>
        <w:rPr>
          <w:rFonts w:hint="eastAsia" w:ascii="方正仿宋_GB2312" w:hAnsi="方正仿宋_GB2312" w:eastAsia="方正仿宋_GB2312" w:cs="方正仿宋_GB2312"/>
          <w:sz w:val="32"/>
          <w:szCs w:val="32"/>
          <w:lang w:val="en-US" w:eastAsia="zh-CN"/>
        </w:rPr>
        <w:t>m³；</w:t>
      </w:r>
    </w:p>
    <w:p>
      <w:pPr>
        <w:numPr>
          <w:ilvl w:val="0"/>
          <w:numId w:val="3"/>
        </w:numPr>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消毒方法：等离子体+静电吸附；</w:t>
      </w:r>
    </w:p>
    <w:p>
      <w:pPr>
        <w:numPr>
          <w:ilvl w:val="0"/>
          <w:numId w:val="3"/>
        </w:numPr>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设备持续工作1小时，臭氧残留量≤0.01mg/m³；</w:t>
      </w:r>
    </w:p>
    <w:p>
      <w:pPr>
        <w:numPr>
          <w:ilvl w:val="0"/>
          <w:numId w:val="3"/>
        </w:numPr>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净化效果：设备持续工作1小时，对150m³房间≥0.5um颗粒物的净化效率≥90%；净化后室内空气≥0.5um颗粒物≤3500000个/m³；</w:t>
      </w:r>
    </w:p>
    <w:p>
      <w:pPr>
        <w:numPr>
          <w:ilvl w:val="0"/>
          <w:numId w:val="3"/>
        </w:numPr>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洁净空气量CADR（颗粒物）≥650m³/h；</w:t>
      </w:r>
    </w:p>
    <w:p>
      <w:pPr>
        <w:numPr>
          <w:ilvl w:val="0"/>
          <w:numId w:val="3"/>
        </w:numPr>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气雾室白色葡萄球菌的杀灭率均大＞99.90%；</w:t>
      </w:r>
    </w:p>
    <w:p>
      <w:pPr>
        <w:numPr>
          <w:ilvl w:val="0"/>
          <w:numId w:val="3"/>
        </w:numPr>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设备持续工作1小时，对体积为100 m³室内空气中的自然菌消亡率均＞90%，平均消亡率≥95%；</w:t>
      </w:r>
    </w:p>
    <w:p>
      <w:pPr>
        <w:numPr>
          <w:ilvl w:val="0"/>
          <w:numId w:val="3"/>
        </w:numPr>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人机共存：可在有人状态下进行连续动态消毒</w:t>
      </w:r>
    </w:p>
    <w:p>
      <w:pPr>
        <w:numPr>
          <w:ilvl w:val="0"/>
          <w:numId w:val="3"/>
        </w:numPr>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分子过滤器可有效去除有机气体和医院的各种异味</w:t>
      </w:r>
    </w:p>
    <w:p>
      <w:pPr>
        <w:numPr>
          <w:ilvl w:val="0"/>
          <w:numId w:val="3"/>
        </w:numPr>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具有一键锁定功能，防止误操作</w:t>
      </w:r>
    </w:p>
    <w:p>
      <w:pPr>
        <w:numPr>
          <w:ilvl w:val="0"/>
          <w:numId w:val="3"/>
        </w:numPr>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具有工作时间自动累计功能</w:t>
      </w:r>
    </w:p>
    <w:p>
      <w:pPr>
        <w:numPr>
          <w:ilvl w:val="0"/>
          <w:numId w:val="3"/>
        </w:numPr>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报警功能：等离子体杀菌净化模块故障报警、过滤器清洗维护报警</w:t>
      </w:r>
    </w:p>
    <w:p>
      <w:pPr>
        <w:numPr>
          <w:ilvl w:val="0"/>
          <w:numId w:val="2"/>
        </w:numPr>
        <w:ind w:left="0" w:leftChars="0" w:firstLine="0" w:firstLineChars="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等离子体空气消毒机</w:t>
      </w:r>
      <w:r>
        <w:rPr>
          <w:rFonts w:hint="eastAsia" w:ascii="方正仿宋_GB2312" w:hAnsi="方正仿宋_GB2312" w:eastAsia="方正仿宋_GB2312" w:cs="方正仿宋_GB2312"/>
          <w:sz w:val="32"/>
          <w:szCs w:val="32"/>
          <w:lang w:eastAsia="zh-CN"/>
        </w:rPr>
        <w:t>（壁挂</w:t>
      </w:r>
      <w:r>
        <w:rPr>
          <w:rFonts w:hint="eastAsia" w:ascii="方正仿宋_GB2312" w:hAnsi="方正仿宋_GB2312" w:eastAsia="方正仿宋_GB2312" w:cs="方正仿宋_GB2312"/>
          <w:sz w:val="32"/>
          <w:szCs w:val="32"/>
        </w:rPr>
        <w:t>式）</w:t>
      </w:r>
    </w:p>
    <w:p>
      <w:pPr>
        <w:numPr>
          <w:ilvl w:val="0"/>
          <w:numId w:val="4"/>
        </w:numPr>
        <w:ind w:leftChars="0"/>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eastAsia="zh-CN"/>
        </w:rPr>
        <w:t>适用体积≥100</w:t>
      </w:r>
      <w:r>
        <w:rPr>
          <w:rFonts w:hint="eastAsia" w:ascii="方正仿宋_GB2312" w:hAnsi="方正仿宋_GB2312" w:eastAsia="方正仿宋_GB2312" w:cs="方正仿宋_GB2312"/>
          <w:sz w:val="32"/>
          <w:szCs w:val="32"/>
          <w:lang w:val="en-US" w:eastAsia="zh-CN"/>
        </w:rPr>
        <w:t>m³；</w:t>
      </w:r>
    </w:p>
    <w:p>
      <w:pPr>
        <w:numPr>
          <w:ilvl w:val="0"/>
          <w:numId w:val="4"/>
        </w:numPr>
        <w:ind w:leftChars="0"/>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消毒方法：等离子体+静电吸附；</w:t>
      </w:r>
    </w:p>
    <w:p>
      <w:pPr>
        <w:numPr>
          <w:ilvl w:val="0"/>
          <w:numId w:val="4"/>
        </w:numPr>
        <w:ind w:leftChars="0"/>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气雾室白色葡萄球菌的杀灭率＞99.90%；</w:t>
      </w:r>
    </w:p>
    <w:p>
      <w:pPr>
        <w:numPr>
          <w:ilvl w:val="0"/>
          <w:numId w:val="4"/>
        </w:numPr>
        <w:ind w:leftChars="0"/>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净化效果：设备持续工作1小时，对体积为100 m³室内空气中的自然菌消亡率均＞90%，平均消亡率≥95%，臭氧残留量≤0.005mg/m³。可有效去除氨、苯、TVOC等污染物且甲醛去除率≥96%；</w:t>
      </w:r>
    </w:p>
    <w:p>
      <w:pPr>
        <w:numPr>
          <w:ilvl w:val="0"/>
          <w:numId w:val="4"/>
        </w:numPr>
        <w:ind w:leftChars="0"/>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洁净空气量CADR（颗粒物）≥210m³/h；</w:t>
      </w:r>
    </w:p>
    <w:p>
      <w:pPr>
        <w:numPr>
          <w:ilvl w:val="0"/>
          <w:numId w:val="4"/>
        </w:numPr>
        <w:ind w:leftChars="0"/>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设备持续工作30分钟，PM2.5去除率≥99.92%；设备持续工作1小时，PM2.5去除率&gt;99.99%；</w:t>
      </w:r>
    </w:p>
    <w:p>
      <w:pPr>
        <w:numPr>
          <w:ilvl w:val="0"/>
          <w:numId w:val="4"/>
        </w:numPr>
        <w:ind w:leftChars="0"/>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人机共存：可在有人状态下进行连续动态消毒；</w:t>
      </w:r>
    </w:p>
    <w:p>
      <w:pPr>
        <w:numPr>
          <w:ilvl w:val="0"/>
          <w:numId w:val="4"/>
        </w:numPr>
        <w:ind w:leftChars="0"/>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分子过滤器可有效去除有机气体和医院的各种异味；</w:t>
      </w:r>
    </w:p>
    <w:p>
      <w:pPr>
        <w:numPr>
          <w:ilvl w:val="0"/>
          <w:numId w:val="4"/>
        </w:numPr>
        <w:ind w:leftChars="0"/>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具有一键锁定功能，防止误操作；</w:t>
      </w:r>
    </w:p>
    <w:p>
      <w:pPr>
        <w:numPr>
          <w:ilvl w:val="0"/>
          <w:numId w:val="4"/>
        </w:numPr>
        <w:ind w:leftChars="0"/>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具有工作时间自动累计功能；</w:t>
      </w:r>
    </w:p>
    <w:p>
      <w:pPr>
        <w:numPr>
          <w:ilvl w:val="0"/>
          <w:numId w:val="4"/>
        </w:numPr>
        <w:ind w:leftChars="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lang w:val="en-US" w:eastAsia="zh-CN"/>
        </w:rPr>
        <w:t>报警功能：等离子体杀菌净化模块故障报警、过滤器清洗维护报警</w:t>
      </w:r>
    </w:p>
    <w:p>
      <w:pPr>
        <w:numPr>
          <w:ilvl w:val="0"/>
          <w:numId w:val="0"/>
        </w:numPr>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val="en-US" w:eastAsia="zh-CN"/>
        </w:rPr>
        <w:t>3</w:t>
      </w: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rPr>
        <w:t>等离子体空气消毒机</w:t>
      </w:r>
      <w:r>
        <w:rPr>
          <w:rFonts w:hint="eastAsia" w:ascii="方正仿宋_GB2312" w:hAnsi="方正仿宋_GB2312" w:eastAsia="方正仿宋_GB2312" w:cs="方正仿宋_GB2312"/>
          <w:sz w:val="32"/>
          <w:szCs w:val="32"/>
          <w:lang w:eastAsia="zh-CN"/>
        </w:rPr>
        <w:t>（吸顶</w:t>
      </w:r>
      <w:r>
        <w:rPr>
          <w:rFonts w:hint="eastAsia" w:ascii="方正仿宋_GB2312" w:hAnsi="方正仿宋_GB2312" w:eastAsia="方正仿宋_GB2312" w:cs="方正仿宋_GB2312"/>
          <w:sz w:val="32"/>
          <w:szCs w:val="32"/>
        </w:rPr>
        <w:t>式）</w:t>
      </w:r>
    </w:p>
    <w:p>
      <w:pPr>
        <w:numPr>
          <w:ilvl w:val="0"/>
          <w:numId w:val="0"/>
        </w:numPr>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（1）</w:t>
      </w:r>
      <w:r>
        <w:rPr>
          <w:rFonts w:hint="eastAsia" w:ascii="方正仿宋_GB2312" w:hAnsi="方正仿宋_GB2312" w:eastAsia="方正仿宋_GB2312" w:cs="方正仿宋_GB2312"/>
          <w:sz w:val="32"/>
          <w:szCs w:val="32"/>
          <w:lang w:eastAsia="zh-CN"/>
        </w:rPr>
        <w:t xml:space="preserve">适用体积≥150 </w:t>
      </w:r>
      <w:r>
        <w:rPr>
          <w:rFonts w:hint="eastAsia" w:ascii="方正仿宋_GB2312" w:hAnsi="方正仿宋_GB2312" w:eastAsia="方正仿宋_GB2312" w:cs="方正仿宋_GB2312"/>
          <w:sz w:val="32"/>
          <w:szCs w:val="32"/>
          <w:lang w:val="en-US" w:eastAsia="zh-CN"/>
        </w:rPr>
        <w:t>m³</w:t>
      </w:r>
    </w:p>
    <w:p>
      <w:pPr>
        <w:numPr>
          <w:ilvl w:val="0"/>
          <w:numId w:val="0"/>
        </w:numPr>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lang w:val="en-US" w:eastAsia="zh-CN"/>
        </w:rPr>
        <w:t>2）</w:t>
      </w:r>
      <w:r>
        <w:rPr>
          <w:rFonts w:hint="eastAsia" w:ascii="方正仿宋_GB2312" w:hAnsi="方正仿宋_GB2312" w:eastAsia="方正仿宋_GB2312" w:cs="方正仿宋_GB2312"/>
          <w:sz w:val="32"/>
          <w:szCs w:val="32"/>
          <w:lang w:eastAsia="zh-CN"/>
        </w:rPr>
        <w:t>消毒方法：等离子体+静电吸附</w:t>
      </w:r>
    </w:p>
    <w:p>
      <w:pPr>
        <w:numPr>
          <w:ilvl w:val="0"/>
          <w:numId w:val="0"/>
        </w:numPr>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lang w:val="en-US" w:eastAsia="zh-CN"/>
        </w:rPr>
        <w:t>3）</w:t>
      </w:r>
      <w:r>
        <w:rPr>
          <w:rFonts w:hint="eastAsia" w:ascii="方正仿宋_GB2312" w:hAnsi="方正仿宋_GB2312" w:eastAsia="方正仿宋_GB2312" w:cs="方正仿宋_GB2312"/>
          <w:sz w:val="32"/>
          <w:szCs w:val="32"/>
          <w:lang w:eastAsia="zh-CN"/>
        </w:rPr>
        <w:t>臭氧残留量≤0.01mg/m³</w:t>
      </w:r>
    </w:p>
    <w:p>
      <w:pPr>
        <w:numPr>
          <w:ilvl w:val="0"/>
          <w:numId w:val="0"/>
        </w:numPr>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lang w:val="en-US" w:eastAsia="zh-CN"/>
        </w:rPr>
        <w:t>4）</w:t>
      </w:r>
      <w:r>
        <w:rPr>
          <w:rFonts w:hint="eastAsia" w:ascii="方正仿宋_GB2312" w:hAnsi="方正仿宋_GB2312" w:eastAsia="方正仿宋_GB2312" w:cs="方正仿宋_GB2312"/>
          <w:sz w:val="32"/>
          <w:szCs w:val="32"/>
          <w:lang w:eastAsia="zh-CN"/>
        </w:rPr>
        <w:t>气雾室白色葡萄球菌的杀灭率均大于99.90%。</w:t>
      </w:r>
    </w:p>
    <w:p>
      <w:pPr>
        <w:numPr>
          <w:ilvl w:val="0"/>
          <w:numId w:val="0"/>
        </w:numPr>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lang w:val="en-US" w:eastAsia="zh-CN"/>
        </w:rPr>
        <w:t>5</w:t>
      </w:r>
      <w:r>
        <w:rPr>
          <w:rFonts w:hint="eastAsia" w:ascii="方正仿宋_GB2312" w:hAnsi="方正仿宋_GB2312" w:eastAsia="方正仿宋_GB2312" w:cs="方正仿宋_GB2312"/>
          <w:sz w:val="32"/>
          <w:szCs w:val="32"/>
          <w:lang w:eastAsia="zh-CN"/>
        </w:rPr>
        <w:t>）自然菌平均消亡率大于90%，提供权威机构检测报告。可有效去除氨、苯、TVOC等污染物、甲醛去除率可达96%以上</w:t>
      </w:r>
    </w:p>
    <w:p>
      <w:pPr>
        <w:numPr>
          <w:ilvl w:val="0"/>
          <w:numId w:val="0"/>
        </w:numPr>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（6）人机共存：可在有人状态下进行连续动态消毒；</w:t>
      </w:r>
    </w:p>
    <w:p>
      <w:pPr>
        <w:numPr>
          <w:ilvl w:val="0"/>
          <w:numId w:val="0"/>
        </w:numPr>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（7）分子过滤器可有效去除有机气体和医院的各种异味；</w:t>
      </w:r>
    </w:p>
    <w:p>
      <w:pPr>
        <w:numPr>
          <w:ilvl w:val="0"/>
          <w:numId w:val="0"/>
        </w:numPr>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（8）具有一键锁定功能，防止误操作；</w:t>
      </w:r>
    </w:p>
    <w:p>
      <w:pPr>
        <w:numPr>
          <w:ilvl w:val="0"/>
          <w:numId w:val="0"/>
        </w:numPr>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（9）具有工作时间自动累计功能；</w:t>
      </w:r>
    </w:p>
    <w:p>
      <w:pPr>
        <w:numPr>
          <w:ilvl w:val="0"/>
          <w:numId w:val="0"/>
        </w:numPr>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val="en-US" w:eastAsia="zh-CN"/>
        </w:rPr>
        <w:t>（10）报警功能：等离子体杀菌净化模块故障报警、过滤器清洗维护报警</w:t>
      </w:r>
    </w:p>
    <w:p>
      <w:pPr>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三、其他要求</w:t>
      </w:r>
    </w:p>
    <w:p>
      <w:pPr>
        <w:numPr>
          <w:ilvl w:val="0"/>
          <w:numId w:val="0"/>
        </w:numPr>
        <w:ind w:leftChars="0"/>
        <w:rPr>
          <w:rFonts w:hint="default" w:ascii="方正仿宋_GB2312" w:hAnsi="方正仿宋_GB2312" w:eastAsia="方正仿宋_GB2312" w:cs="方正仿宋_GB2312"/>
          <w:sz w:val="32"/>
          <w:szCs w:val="32"/>
          <w:lang w:val="en-US"/>
        </w:rPr>
      </w:pPr>
      <w:r>
        <w:rPr>
          <w:rFonts w:hint="eastAsia" w:ascii="方正仿宋_GB2312" w:hAnsi="方正仿宋_GB2312" w:eastAsia="方正仿宋_GB2312" w:cs="方正仿宋_GB2312"/>
          <w:sz w:val="32"/>
          <w:szCs w:val="32"/>
          <w:lang w:val="en-US" w:eastAsia="zh-CN"/>
        </w:rPr>
        <w:t>以上柜式、壁挂式及吸顶式等离子体空气消毒机的消毒效果需提供权威检测机构检查报告，并且安装完后通过医院的空气培养消毒效果检验。</w:t>
      </w:r>
    </w:p>
    <w:p>
      <w:pPr>
        <w:rPr>
          <w:rFonts w:hint="eastAsia" w:ascii="黑体" w:hAnsi="黑体" w:eastAsia="黑体" w:cs="黑体"/>
          <w:sz w:val="32"/>
          <w:szCs w:val="32"/>
          <w:lang w:val="en-US" w:eastAsia="zh-CN"/>
        </w:rPr>
      </w:pPr>
      <w:r>
        <w:rPr>
          <w:rFonts w:hint="eastAsia" w:ascii="黑体" w:hAnsi="黑体" w:eastAsia="黑体" w:cs="黑体"/>
          <w:sz w:val="32"/>
          <w:szCs w:val="32"/>
          <w:lang w:eastAsia="zh-CN"/>
        </w:rPr>
        <w:t>四、配置清</w:t>
      </w:r>
      <w:r>
        <w:rPr>
          <w:rFonts w:hint="eastAsia" w:ascii="黑体" w:hAnsi="黑体" w:eastAsia="黑体" w:cs="黑体"/>
          <w:sz w:val="32"/>
          <w:szCs w:val="32"/>
          <w:lang w:val="en-US" w:eastAsia="zh-CN"/>
        </w:rPr>
        <w:t>单</w:t>
      </w:r>
    </w:p>
    <w:p>
      <w:pPr>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901阶梯教室：2台柜式等离子空气消毒机、3台壁挂式等离子空气消毒机</w:t>
      </w:r>
    </w:p>
    <w:p>
      <w:pPr>
        <w:rPr>
          <w:rFonts w:hint="default"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902会议室：2台吸顶等离子空气消毒机</w:t>
      </w:r>
    </w:p>
    <w:p>
      <w:pPr>
        <w:rPr>
          <w:rFonts w:hint="eastAsia" w:ascii="黑体" w:hAnsi="黑体" w:eastAsia="黑体" w:cs="黑体"/>
          <w:sz w:val="32"/>
          <w:szCs w:val="32"/>
          <w:lang w:eastAsia="zh-CN"/>
        </w:rPr>
      </w:pPr>
      <w:r>
        <w:rPr>
          <w:rFonts w:hint="eastAsia" w:ascii="黑体" w:hAnsi="黑体" w:eastAsia="黑体" w:cs="黑体"/>
          <w:sz w:val="32"/>
          <w:szCs w:val="32"/>
          <w:lang w:eastAsia="zh-CN"/>
        </w:rPr>
        <w:t>五、售后服务方案</w:t>
      </w:r>
    </w:p>
    <w:p>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（1）供应商应按照本采购项目特点提供长期良好的售后服务，并在响应文件中提供详细具体的售后服务承诺条款及保证，在质保期内售后服务所需费用列入报价。</w:t>
      </w:r>
    </w:p>
    <w:p>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（2）要求供应商必须拥有专业的售后维护服务团队，能够保证本项目正常运行。</w:t>
      </w:r>
    </w:p>
    <w:p>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（3）本次报价的设备主机质保期至少为</w:t>
      </w:r>
      <w:r>
        <w:rPr>
          <w:rFonts w:hint="eastAsia" w:ascii="方正仿宋_GB2312" w:hAnsi="方正仿宋_GB2312" w:eastAsia="方正仿宋_GB2312" w:cs="方正仿宋_GB2312"/>
          <w:b/>
          <w:bCs/>
          <w:sz w:val="32"/>
          <w:szCs w:val="32"/>
          <w:lang w:val="en-US" w:eastAsia="zh-CN"/>
        </w:rPr>
        <w:t>2</w:t>
      </w:r>
      <w:r>
        <w:rPr>
          <w:rFonts w:hint="eastAsia" w:ascii="方正仿宋_GB2312" w:hAnsi="方正仿宋_GB2312" w:eastAsia="方正仿宋_GB2312" w:cs="方正仿宋_GB2312"/>
          <w:b/>
          <w:bCs/>
          <w:sz w:val="32"/>
          <w:szCs w:val="32"/>
        </w:rPr>
        <w:t>年</w:t>
      </w:r>
      <w:r>
        <w:rPr>
          <w:rFonts w:hint="eastAsia" w:ascii="方正仿宋_GB2312" w:hAnsi="方正仿宋_GB2312" w:eastAsia="方正仿宋_GB2312" w:cs="方正仿宋_GB2312"/>
          <w:sz w:val="32"/>
          <w:szCs w:val="32"/>
        </w:rPr>
        <w:t>，配件质保期至少为1年，自验收合格之日起计算，期间成交供应商应提供一切维修服务和更换零配件（不再另行收取费用）。设备正常使用期间内，厂商必须提供每年2次的设备技术安全巡检保养并提供年度巡检保养报告给医院存档。投标的产品供应商应提供服务条款说明书，并提供相关服务机构有关资格证明文件及公司（厂家）、地址、联系人、联系电话。</w:t>
      </w:r>
    </w:p>
    <w:p>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4）在质保期内，成交供应商提供7*24小时服务。对于产品在使用过程中出现的问题，在1小时内响应。如遇与所供产品有关的问题无法远程解决的，在事件确定后2小时内赶到现场提供服务。2小时内未解决的成交供应商应提供详细的应急解决方案。因成交供应商工作延误，造成采购人损失的，成交供应商应负赔偿责任。</w:t>
      </w:r>
    </w:p>
    <w:p>
      <w:pPr>
        <w:rPr>
          <w:rFonts w:hint="eastAsia" w:ascii="黑体" w:hAnsi="黑体" w:eastAsia="黑体" w:cs="黑体"/>
          <w:sz w:val="32"/>
          <w:szCs w:val="32"/>
          <w:lang w:eastAsia="zh-CN"/>
        </w:rPr>
      </w:pPr>
      <w:r>
        <w:rPr>
          <w:rFonts w:hint="eastAsia" w:ascii="黑体" w:hAnsi="黑体" w:eastAsia="黑体" w:cs="黑体"/>
          <w:sz w:val="32"/>
          <w:szCs w:val="32"/>
          <w:lang w:eastAsia="zh-CN"/>
        </w:rPr>
        <w:t>六、培训要求</w:t>
      </w:r>
    </w:p>
    <w:p>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（1）成交供应商提供现场技术培训，保证使用人员正确操作设备的各种功能，维修人员能进行常规维护、检修与保养。</w:t>
      </w:r>
    </w:p>
    <w:p>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（2）供应商应提供现场人员的培训，包括但不限于操作培训、保养培训和维修培训，并提供书面承诺和培训方案；培训使用单位操作人员直到熟悉为止（所有培训不再另行收取费用）。</w:t>
      </w:r>
    </w:p>
    <w:p>
      <w:pPr>
        <w:rPr>
          <w:rFonts w:hint="eastAsia" w:ascii="黑体" w:hAnsi="黑体" w:eastAsia="黑体" w:cs="黑体"/>
          <w:sz w:val="32"/>
          <w:szCs w:val="32"/>
          <w:lang w:eastAsia="zh-CN"/>
        </w:rPr>
      </w:pPr>
      <w:r>
        <w:rPr>
          <w:rFonts w:hint="eastAsia" w:ascii="黑体" w:hAnsi="黑体" w:eastAsia="黑体" w:cs="黑体"/>
          <w:sz w:val="32"/>
          <w:szCs w:val="32"/>
          <w:lang w:eastAsia="zh-CN"/>
        </w:rPr>
        <w:t>七、常用配件及耗材价格</w:t>
      </w:r>
    </w:p>
    <w:tbl>
      <w:tblPr>
        <w:tblStyle w:val="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40"/>
        <w:gridCol w:w="28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40" w:type="dxa"/>
          </w:tcPr>
          <w:p>
            <w:pPr>
              <w:jc w:val="center"/>
              <w:rPr>
                <w:rFonts w:hint="default" w:ascii="方正仿宋_GB2312" w:hAnsi="方正仿宋_GB2312" w:eastAsia="方正仿宋_GB2312" w:cs="方正仿宋_GB2312"/>
                <w:sz w:val="32"/>
                <w:szCs w:val="32"/>
                <w:vertAlign w:val="baseline"/>
                <w:lang w:val="en-US" w:eastAsia="zh-CN"/>
              </w:rPr>
            </w:pPr>
            <w:r>
              <w:rPr>
                <w:rFonts w:hint="eastAsia" w:ascii="方正仿宋_GB2312" w:hAnsi="方正仿宋_GB2312" w:eastAsia="方正仿宋_GB2312" w:cs="方正仿宋_GB2312"/>
                <w:sz w:val="32"/>
                <w:szCs w:val="32"/>
                <w:vertAlign w:val="baseline"/>
                <w:lang w:val="en-US" w:eastAsia="zh-CN"/>
              </w:rPr>
              <w:t>配件名称</w:t>
            </w:r>
          </w:p>
        </w:tc>
        <w:tc>
          <w:tcPr>
            <w:tcW w:w="2841" w:type="dxa"/>
          </w:tcPr>
          <w:p>
            <w:pPr>
              <w:jc w:val="center"/>
              <w:rPr>
                <w:rFonts w:hint="default" w:ascii="方正仿宋_GB2312" w:hAnsi="方正仿宋_GB2312" w:eastAsia="方正仿宋_GB2312" w:cs="方正仿宋_GB2312"/>
                <w:sz w:val="32"/>
                <w:szCs w:val="32"/>
                <w:vertAlign w:val="baseline"/>
                <w:lang w:val="en-US" w:eastAsia="zh-CN"/>
              </w:rPr>
            </w:pPr>
            <w:r>
              <w:rPr>
                <w:rFonts w:hint="eastAsia" w:ascii="方正仿宋_GB2312" w:hAnsi="方正仿宋_GB2312" w:eastAsia="方正仿宋_GB2312" w:cs="方正仿宋_GB2312"/>
                <w:sz w:val="32"/>
                <w:szCs w:val="32"/>
                <w:vertAlign w:val="baseline"/>
                <w:lang w:val="en-US" w:eastAsia="zh-CN"/>
              </w:rPr>
              <w:t>价格（元）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840" w:type="dxa"/>
          </w:tcPr>
          <w:p>
            <w:pPr>
              <w:jc w:val="center"/>
              <w:rPr>
                <w:rFonts w:hint="default" w:ascii="方正仿宋_GB2312" w:hAnsi="方正仿宋_GB2312" w:eastAsia="方正仿宋_GB2312" w:cs="方正仿宋_GB2312"/>
                <w:sz w:val="32"/>
                <w:szCs w:val="32"/>
                <w:vertAlign w:val="baseline"/>
                <w:lang w:val="en-US" w:eastAsia="zh-CN"/>
              </w:rPr>
            </w:pPr>
          </w:p>
        </w:tc>
        <w:tc>
          <w:tcPr>
            <w:tcW w:w="2841" w:type="dxa"/>
          </w:tcPr>
          <w:p>
            <w:pPr>
              <w:jc w:val="center"/>
              <w:rPr>
                <w:rFonts w:hint="default" w:ascii="方正仿宋_GB2312" w:hAnsi="方正仿宋_GB2312" w:eastAsia="方正仿宋_GB2312" w:cs="方正仿宋_GB2312"/>
                <w:sz w:val="32"/>
                <w:szCs w:val="32"/>
                <w:vertAlign w:val="baseline"/>
                <w:lang w:val="en-US" w:eastAsia="zh-CN"/>
              </w:rPr>
            </w:pPr>
          </w:p>
        </w:tc>
      </w:tr>
    </w:tbl>
    <w:p>
      <w:pPr>
        <w:rPr>
          <w:rFonts w:hint="default" w:ascii="方正仿宋_GB2312" w:hAnsi="方正仿宋_GB2312" w:eastAsia="方正仿宋_GB2312" w:cs="方正仿宋_GB2312"/>
          <w:sz w:val="32"/>
          <w:szCs w:val="32"/>
          <w:lang w:val="en-US" w:eastAsia="zh-CN"/>
        </w:rPr>
      </w:pPr>
    </w:p>
    <w:p>
      <w:pPr>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八、评分细则</w:t>
      </w:r>
    </w:p>
    <w:tbl>
      <w:tblPr>
        <w:tblW w:w="8314" w:type="dxa"/>
        <w:tblInd w:w="93" w:type="dxa"/>
        <w:shd w:val="clear"/>
        <w:tblLayout w:type="fixed"/>
        <w:tblCellMar>
          <w:top w:w="0" w:type="dxa"/>
          <w:left w:w="108" w:type="dxa"/>
          <w:bottom w:w="0" w:type="dxa"/>
          <w:right w:w="108" w:type="dxa"/>
        </w:tblCellMar>
      </w:tblPr>
      <w:tblGrid>
        <w:gridCol w:w="1176"/>
        <w:gridCol w:w="2188"/>
        <w:gridCol w:w="1650"/>
        <w:gridCol w:w="1907"/>
        <w:gridCol w:w="1393"/>
      </w:tblGrid>
      <w:tr>
        <w:tblPrEx>
          <w:shd w:val="clear"/>
          <w:tblCellMar>
            <w:top w:w="0" w:type="dxa"/>
            <w:left w:w="108" w:type="dxa"/>
            <w:bottom w:w="0" w:type="dxa"/>
            <w:right w:w="108" w:type="dxa"/>
          </w:tblCellMar>
        </w:tblPrEx>
        <w:trPr>
          <w:trHeight w:val="270" w:hRule="atLeast"/>
        </w:trPr>
        <w:tc>
          <w:tcPr>
            <w:tcW w:w="1176" w:type="dxa"/>
            <w:tcBorders>
              <w:top w:val="single" w:color="000000" w:sz="4" w:space="0"/>
              <w:left w:val="single" w:color="000000" w:sz="4" w:space="0"/>
              <w:bottom w:val="single" w:color="000000" w:sz="4" w:space="0"/>
              <w:right w:val="single" w:color="000000" w:sz="4" w:space="0"/>
            </w:tcBorders>
            <w:shd w:val="clear"/>
            <w:noWrap/>
            <w:vAlign w:val="center"/>
          </w:tcPr>
          <w:p>
            <w:pPr>
              <w:jc w:val="center"/>
              <w:rPr>
                <w:rFonts w:hint="eastAsia" w:ascii="方正仿宋_GB2312" w:hAnsi="方正仿宋_GB2312" w:eastAsia="方正仿宋_GB2312" w:cs="方正仿宋_GB2312"/>
                <w:sz w:val="32"/>
                <w:szCs w:val="32"/>
                <w:vertAlign w:val="baseline"/>
                <w:lang w:val="en-US" w:eastAsia="zh-CN"/>
              </w:rPr>
            </w:pPr>
            <w:r>
              <w:rPr>
                <w:rFonts w:hint="eastAsia" w:ascii="方正仿宋_GB2312" w:hAnsi="方正仿宋_GB2312" w:eastAsia="方正仿宋_GB2312" w:cs="方正仿宋_GB2312"/>
                <w:sz w:val="32"/>
                <w:szCs w:val="32"/>
                <w:vertAlign w:val="baseline"/>
                <w:lang w:val="en-US" w:eastAsia="zh-CN"/>
              </w:rPr>
              <w:t>供应商</w:t>
            </w:r>
          </w:p>
        </w:tc>
        <w:tc>
          <w:tcPr>
            <w:tcW w:w="3838" w:type="dxa"/>
            <w:gridSpan w:val="2"/>
            <w:tcBorders>
              <w:top w:val="single" w:color="000000" w:sz="4" w:space="0"/>
              <w:left w:val="single" w:color="000000" w:sz="4" w:space="0"/>
              <w:bottom w:val="single" w:color="000000" w:sz="4" w:space="0"/>
              <w:right w:val="single" w:color="000000" w:sz="4" w:space="0"/>
            </w:tcBorders>
            <w:shd w:val="clear"/>
            <w:noWrap/>
            <w:vAlign w:val="center"/>
          </w:tcPr>
          <w:p>
            <w:pPr>
              <w:jc w:val="center"/>
              <w:rPr>
                <w:rFonts w:hint="eastAsia" w:ascii="方正仿宋_GB2312" w:hAnsi="方正仿宋_GB2312" w:eastAsia="方正仿宋_GB2312" w:cs="方正仿宋_GB2312"/>
                <w:sz w:val="32"/>
                <w:szCs w:val="32"/>
                <w:vertAlign w:val="baseline"/>
                <w:lang w:val="en-US" w:eastAsia="zh-CN"/>
              </w:rPr>
            </w:pPr>
          </w:p>
        </w:tc>
        <w:tc>
          <w:tcPr>
            <w:tcW w:w="1907" w:type="dxa"/>
            <w:tcBorders>
              <w:top w:val="single" w:color="000000" w:sz="4" w:space="0"/>
              <w:left w:val="single" w:color="000000" w:sz="4" w:space="0"/>
              <w:bottom w:val="single" w:color="000000" w:sz="4" w:space="0"/>
              <w:right w:val="single" w:color="000000" w:sz="4" w:space="0"/>
            </w:tcBorders>
            <w:shd w:val="clear"/>
            <w:noWrap/>
            <w:vAlign w:val="center"/>
          </w:tcPr>
          <w:p>
            <w:pPr>
              <w:jc w:val="center"/>
              <w:rPr>
                <w:rFonts w:hint="eastAsia" w:ascii="方正仿宋_GB2312" w:hAnsi="方正仿宋_GB2312" w:eastAsia="方正仿宋_GB2312" w:cs="方正仿宋_GB2312"/>
                <w:sz w:val="32"/>
                <w:szCs w:val="32"/>
                <w:vertAlign w:val="baseline"/>
                <w:lang w:val="en-US" w:eastAsia="zh-CN"/>
              </w:rPr>
            </w:pPr>
            <w:r>
              <w:rPr>
                <w:rFonts w:hint="eastAsia" w:ascii="方正仿宋_GB2312" w:hAnsi="方正仿宋_GB2312" w:eastAsia="方正仿宋_GB2312" w:cs="方正仿宋_GB2312"/>
                <w:sz w:val="32"/>
                <w:szCs w:val="32"/>
                <w:vertAlign w:val="baseline"/>
                <w:lang w:val="en-US" w:eastAsia="zh-CN"/>
              </w:rPr>
              <w:t>评分人签字</w:t>
            </w:r>
          </w:p>
        </w:tc>
        <w:tc>
          <w:tcPr>
            <w:tcW w:w="1393" w:type="dxa"/>
            <w:tcBorders>
              <w:top w:val="single" w:color="000000" w:sz="4" w:space="0"/>
              <w:left w:val="single" w:color="000000" w:sz="4" w:space="0"/>
              <w:bottom w:val="single" w:color="000000" w:sz="4" w:space="0"/>
              <w:right w:val="single" w:color="000000" w:sz="4" w:space="0"/>
            </w:tcBorders>
            <w:shd w:val="clear"/>
            <w:noWrap/>
            <w:vAlign w:val="center"/>
          </w:tcPr>
          <w:p>
            <w:pPr>
              <w:jc w:val="center"/>
              <w:rPr>
                <w:rFonts w:hint="eastAsia" w:ascii="方正仿宋_GB2312" w:hAnsi="方正仿宋_GB2312" w:eastAsia="方正仿宋_GB2312" w:cs="方正仿宋_GB2312"/>
                <w:sz w:val="32"/>
                <w:szCs w:val="32"/>
                <w:vertAlign w:val="baseline"/>
                <w:lang w:val="en-US" w:eastAsia="zh-CN"/>
              </w:rPr>
            </w:pPr>
          </w:p>
        </w:tc>
      </w:tr>
      <w:tr>
        <w:tblPrEx>
          <w:tblCellMar>
            <w:top w:w="0" w:type="dxa"/>
            <w:left w:w="108" w:type="dxa"/>
            <w:bottom w:w="0" w:type="dxa"/>
            <w:right w:w="108" w:type="dxa"/>
          </w:tblCellMar>
        </w:tblPrEx>
        <w:trPr>
          <w:trHeight w:val="540" w:hRule="atLeast"/>
        </w:trPr>
        <w:tc>
          <w:tcPr>
            <w:tcW w:w="1176" w:type="dxa"/>
            <w:tcBorders>
              <w:top w:val="single" w:color="000000" w:sz="4" w:space="0"/>
              <w:left w:val="single" w:color="000000" w:sz="4" w:space="0"/>
              <w:bottom w:val="single" w:color="000000" w:sz="4" w:space="0"/>
              <w:right w:val="single" w:color="000000" w:sz="4" w:space="0"/>
            </w:tcBorders>
            <w:shd w:val="clear"/>
            <w:noWrap/>
            <w:vAlign w:val="center"/>
          </w:tcPr>
          <w:p>
            <w:pPr>
              <w:jc w:val="center"/>
              <w:rPr>
                <w:rFonts w:hint="eastAsia" w:ascii="方正仿宋_GB2312" w:hAnsi="方正仿宋_GB2312" w:eastAsia="方正仿宋_GB2312" w:cs="方正仿宋_GB2312"/>
                <w:sz w:val="32"/>
                <w:szCs w:val="32"/>
                <w:vertAlign w:val="baseline"/>
                <w:lang w:val="en-US" w:eastAsia="zh-CN"/>
              </w:rPr>
            </w:pPr>
            <w:r>
              <w:rPr>
                <w:rFonts w:hint="eastAsia" w:ascii="方正仿宋_GB2312" w:hAnsi="方正仿宋_GB2312" w:eastAsia="方正仿宋_GB2312" w:cs="方正仿宋_GB2312"/>
                <w:sz w:val="32"/>
                <w:szCs w:val="32"/>
                <w:vertAlign w:val="baseline"/>
                <w:lang w:val="en-US" w:eastAsia="zh-CN"/>
              </w:rPr>
              <w:t>评分项</w:t>
            </w:r>
          </w:p>
        </w:tc>
        <w:tc>
          <w:tcPr>
            <w:tcW w:w="2188" w:type="dxa"/>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方正仿宋_GB2312" w:hAnsi="方正仿宋_GB2312" w:eastAsia="方正仿宋_GB2312" w:cs="方正仿宋_GB2312"/>
                <w:sz w:val="32"/>
                <w:szCs w:val="32"/>
                <w:vertAlign w:val="baseline"/>
                <w:lang w:val="en-US" w:eastAsia="zh-CN"/>
              </w:rPr>
            </w:pPr>
            <w:r>
              <w:rPr>
                <w:rFonts w:hint="eastAsia" w:ascii="方正仿宋_GB2312" w:hAnsi="方正仿宋_GB2312" w:eastAsia="方正仿宋_GB2312" w:cs="方正仿宋_GB2312"/>
                <w:sz w:val="32"/>
                <w:szCs w:val="32"/>
                <w:vertAlign w:val="baseline"/>
                <w:lang w:val="en-US" w:eastAsia="zh-CN"/>
              </w:rPr>
              <w:t>技术参数及实施方案</w:t>
            </w:r>
          </w:p>
        </w:tc>
        <w:tc>
          <w:tcPr>
            <w:tcW w:w="1650" w:type="dxa"/>
            <w:tcBorders>
              <w:top w:val="single" w:color="000000" w:sz="4" w:space="0"/>
              <w:left w:val="single" w:color="000000" w:sz="4" w:space="0"/>
              <w:bottom w:val="single" w:color="000000" w:sz="4" w:space="0"/>
              <w:right w:val="single" w:color="000000" w:sz="4" w:space="0"/>
            </w:tcBorders>
            <w:shd w:val="clear"/>
            <w:noWrap/>
            <w:vAlign w:val="center"/>
          </w:tcPr>
          <w:p>
            <w:pPr>
              <w:jc w:val="center"/>
              <w:rPr>
                <w:rFonts w:hint="eastAsia" w:ascii="方正仿宋_GB2312" w:hAnsi="方正仿宋_GB2312" w:eastAsia="方正仿宋_GB2312" w:cs="方正仿宋_GB2312"/>
                <w:sz w:val="32"/>
                <w:szCs w:val="32"/>
                <w:vertAlign w:val="baseline"/>
                <w:lang w:val="en-US" w:eastAsia="zh-CN"/>
              </w:rPr>
            </w:pPr>
            <w:r>
              <w:rPr>
                <w:rFonts w:hint="eastAsia" w:ascii="方正仿宋_GB2312" w:hAnsi="方正仿宋_GB2312" w:eastAsia="方正仿宋_GB2312" w:cs="方正仿宋_GB2312"/>
                <w:sz w:val="32"/>
                <w:szCs w:val="32"/>
                <w:vertAlign w:val="baseline"/>
                <w:lang w:val="en-US" w:eastAsia="zh-CN"/>
              </w:rPr>
              <w:t>服务部分</w:t>
            </w:r>
          </w:p>
        </w:tc>
        <w:tc>
          <w:tcPr>
            <w:tcW w:w="1907" w:type="dxa"/>
            <w:tcBorders>
              <w:top w:val="single" w:color="000000" w:sz="4" w:space="0"/>
              <w:left w:val="single" w:color="000000" w:sz="4" w:space="0"/>
              <w:bottom w:val="single" w:color="000000" w:sz="4" w:space="0"/>
              <w:right w:val="single" w:color="000000" w:sz="4" w:space="0"/>
            </w:tcBorders>
            <w:shd w:val="clear"/>
            <w:noWrap/>
            <w:vAlign w:val="center"/>
          </w:tcPr>
          <w:p>
            <w:pPr>
              <w:jc w:val="center"/>
              <w:rPr>
                <w:rFonts w:hint="eastAsia" w:ascii="方正仿宋_GB2312" w:hAnsi="方正仿宋_GB2312" w:eastAsia="方正仿宋_GB2312" w:cs="方正仿宋_GB2312"/>
                <w:sz w:val="32"/>
                <w:szCs w:val="32"/>
                <w:vertAlign w:val="baseline"/>
                <w:lang w:val="en-US" w:eastAsia="zh-CN"/>
              </w:rPr>
            </w:pPr>
            <w:r>
              <w:rPr>
                <w:rFonts w:hint="eastAsia" w:ascii="方正仿宋_GB2312" w:hAnsi="方正仿宋_GB2312" w:eastAsia="方正仿宋_GB2312" w:cs="方正仿宋_GB2312"/>
                <w:sz w:val="32"/>
                <w:szCs w:val="32"/>
                <w:vertAlign w:val="baseline"/>
                <w:lang w:val="en-US" w:eastAsia="zh-CN"/>
              </w:rPr>
              <w:t>成功案例</w:t>
            </w:r>
          </w:p>
        </w:tc>
        <w:tc>
          <w:tcPr>
            <w:tcW w:w="1393" w:type="dxa"/>
            <w:tcBorders>
              <w:top w:val="single" w:color="000000" w:sz="4" w:space="0"/>
              <w:left w:val="single" w:color="000000" w:sz="4" w:space="0"/>
              <w:bottom w:val="single" w:color="000000" w:sz="4" w:space="0"/>
              <w:right w:val="single" w:color="000000" w:sz="4" w:space="0"/>
            </w:tcBorders>
            <w:shd w:val="clear"/>
            <w:noWrap/>
            <w:vAlign w:val="center"/>
          </w:tcPr>
          <w:p>
            <w:pPr>
              <w:jc w:val="center"/>
              <w:rPr>
                <w:rFonts w:hint="eastAsia" w:ascii="方正仿宋_GB2312" w:hAnsi="方正仿宋_GB2312" w:eastAsia="方正仿宋_GB2312" w:cs="方正仿宋_GB2312"/>
                <w:sz w:val="32"/>
                <w:szCs w:val="32"/>
                <w:vertAlign w:val="baseline"/>
                <w:lang w:val="en-US" w:eastAsia="zh-CN"/>
              </w:rPr>
            </w:pPr>
            <w:r>
              <w:rPr>
                <w:rFonts w:hint="eastAsia" w:ascii="方正仿宋_GB2312" w:hAnsi="方正仿宋_GB2312" w:eastAsia="方正仿宋_GB2312" w:cs="方正仿宋_GB2312"/>
                <w:sz w:val="32"/>
                <w:szCs w:val="32"/>
                <w:vertAlign w:val="baseline"/>
                <w:lang w:val="en-US" w:eastAsia="zh-CN"/>
              </w:rPr>
              <w:t>价格</w:t>
            </w:r>
          </w:p>
        </w:tc>
      </w:tr>
      <w:tr>
        <w:tblPrEx>
          <w:tblCellMar>
            <w:top w:w="0" w:type="dxa"/>
            <w:left w:w="108" w:type="dxa"/>
            <w:bottom w:w="0" w:type="dxa"/>
            <w:right w:w="108" w:type="dxa"/>
          </w:tblCellMar>
        </w:tblPrEx>
        <w:trPr>
          <w:trHeight w:val="270" w:hRule="atLeast"/>
        </w:trPr>
        <w:tc>
          <w:tcPr>
            <w:tcW w:w="1176" w:type="dxa"/>
            <w:tcBorders>
              <w:top w:val="single" w:color="000000" w:sz="4" w:space="0"/>
              <w:left w:val="single" w:color="000000" w:sz="4" w:space="0"/>
              <w:bottom w:val="single" w:color="000000" w:sz="4" w:space="0"/>
              <w:right w:val="single" w:color="000000" w:sz="4" w:space="0"/>
            </w:tcBorders>
            <w:shd w:val="clear"/>
            <w:noWrap/>
            <w:vAlign w:val="center"/>
          </w:tcPr>
          <w:p>
            <w:pPr>
              <w:jc w:val="center"/>
              <w:rPr>
                <w:rFonts w:hint="eastAsia" w:ascii="方正仿宋_GB2312" w:hAnsi="方正仿宋_GB2312" w:eastAsia="方正仿宋_GB2312" w:cs="方正仿宋_GB2312"/>
                <w:sz w:val="32"/>
                <w:szCs w:val="32"/>
                <w:vertAlign w:val="baseline"/>
                <w:lang w:val="en-US" w:eastAsia="zh-CN"/>
              </w:rPr>
            </w:pPr>
            <w:r>
              <w:rPr>
                <w:rFonts w:hint="eastAsia" w:ascii="方正仿宋_GB2312" w:hAnsi="方正仿宋_GB2312" w:eastAsia="方正仿宋_GB2312" w:cs="方正仿宋_GB2312"/>
                <w:sz w:val="32"/>
                <w:szCs w:val="32"/>
                <w:vertAlign w:val="baseline"/>
                <w:lang w:val="en-US" w:eastAsia="zh-CN"/>
              </w:rPr>
              <w:t>总分值</w:t>
            </w:r>
          </w:p>
        </w:tc>
        <w:tc>
          <w:tcPr>
            <w:tcW w:w="2188" w:type="dxa"/>
            <w:tcBorders>
              <w:top w:val="single" w:color="000000" w:sz="4" w:space="0"/>
              <w:left w:val="single" w:color="000000" w:sz="4" w:space="0"/>
              <w:bottom w:val="single" w:color="000000" w:sz="4" w:space="0"/>
              <w:right w:val="single" w:color="000000" w:sz="4" w:space="0"/>
            </w:tcBorders>
            <w:shd w:val="clear"/>
            <w:noWrap/>
            <w:vAlign w:val="center"/>
          </w:tcPr>
          <w:p>
            <w:pPr>
              <w:jc w:val="center"/>
              <w:rPr>
                <w:rFonts w:hint="eastAsia" w:ascii="方正仿宋_GB2312" w:hAnsi="方正仿宋_GB2312" w:eastAsia="方正仿宋_GB2312" w:cs="方正仿宋_GB2312"/>
                <w:sz w:val="32"/>
                <w:szCs w:val="32"/>
                <w:vertAlign w:val="baseline"/>
                <w:lang w:val="en-US" w:eastAsia="zh-CN"/>
              </w:rPr>
            </w:pPr>
            <w:r>
              <w:rPr>
                <w:rFonts w:hint="eastAsia" w:ascii="方正仿宋_GB2312" w:hAnsi="方正仿宋_GB2312" w:eastAsia="方正仿宋_GB2312" w:cs="方正仿宋_GB2312"/>
                <w:sz w:val="32"/>
                <w:szCs w:val="32"/>
                <w:vertAlign w:val="baseline"/>
                <w:lang w:val="en-US" w:eastAsia="zh-CN"/>
              </w:rPr>
              <w:t>40</w:t>
            </w:r>
          </w:p>
        </w:tc>
        <w:tc>
          <w:tcPr>
            <w:tcW w:w="1650" w:type="dxa"/>
            <w:tcBorders>
              <w:top w:val="single" w:color="000000" w:sz="4" w:space="0"/>
              <w:left w:val="single" w:color="000000" w:sz="4" w:space="0"/>
              <w:bottom w:val="single" w:color="000000" w:sz="4" w:space="0"/>
              <w:right w:val="single" w:color="000000" w:sz="4" w:space="0"/>
            </w:tcBorders>
            <w:shd w:val="clear"/>
            <w:noWrap/>
            <w:vAlign w:val="center"/>
          </w:tcPr>
          <w:p>
            <w:pPr>
              <w:jc w:val="center"/>
              <w:rPr>
                <w:rFonts w:hint="eastAsia" w:ascii="方正仿宋_GB2312" w:hAnsi="方正仿宋_GB2312" w:eastAsia="方正仿宋_GB2312" w:cs="方正仿宋_GB2312"/>
                <w:sz w:val="32"/>
                <w:szCs w:val="32"/>
                <w:vertAlign w:val="baseline"/>
                <w:lang w:val="en-US" w:eastAsia="zh-CN"/>
              </w:rPr>
            </w:pPr>
            <w:r>
              <w:rPr>
                <w:rFonts w:hint="eastAsia" w:ascii="方正仿宋_GB2312" w:hAnsi="方正仿宋_GB2312" w:eastAsia="方正仿宋_GB2312" w:cs="方正仿宋_GB2312"/>
                <w:sz w:val="32"/>
                <w:szCs w:val="32"/>
                <w:vertAlign w:val="baseline"/>
                <w:lang w:val="en-US" w:eastAsia="zh-CN"/>
              </w:rPr>
              <w:t>20</w:t>
            </w:r>
          </w:p>
        </w:tc>
        <w:tc>
          <w:tcPr>
            <w:tcW w:w="1907" w:type="dxa"/>
            <w:tcBorders>
              <w:top w:val="single" w:color="000000" w:sz="4" w:space="0"/>
              <w:left w:val="single" w:color="000000" w:sz="4" w:space="0"/>
              <w:bottom w:val="single" w:color="000000" w:sz="4" w:space="0"/>
              <w:right w:val="single" w:color="000000" w:sz="4" w:space="0"/>
            </w:tcBorders>
            <w:shd w:val="clear"/>
            <w:noWrap/>
            <w:vAlign w:val="center"/>
          </w:tcPr>
          <w:p>
            <w:pPr>
              <w:jc w:val="center"/>
              <w:rPr>
                <w:rFonts w:hint="eastAsia" w:ascii="方正仿宋_GB2312" w:hAnsi="方正仿宋_GB2312" w:eastAsia="方正仿宋_GB2312" w:cs="方正仿宋_GB2312"/>
                <w:sz w:val="32"/>
                <w:szCs w:val="32"/>
                <w:vertAlign w:val="baseline"/>
                <w:lang w:val="en-US" w:eastAsia="zh-CN"/>
              </w:rPr>
            </w:pPr>
            <w:r>
              <w:rPr>
                <w:rFonts w:hint="eastAsia" w:ascii="方正仿宋_GB2312" w:hAnsi="方正仿宋_GB2312" w:eastAsia="方正仿宋_GB2312" w:cs="方正仿宋_GB2312"/>
                <w:sz w:val="32"/>
                <w:szCs w:val="32"/>
                <w:vertAlign w:val="baseline"/>
                <w:lang w:val="en-US" w:eastAsia="zh-CN"/>
              </w:rPr>
              <w:t>20</w:t>
            </w:r>
          </w:p>
        </w:tc>
        <w:tc>
          <w:tcPr>
            <w:tcW w:w="1393" w:type="dxa"/>
            <w:tcBorders>
              <w:top w:val="single" w:color="000000" w:sz="4" w:space="0"/>
              <w:left w:val="single" w:color="000000" w:sz="4" w:space="0"/>
              <w:bottom w:val="single" w:color="000000" w:sz="4" w:space="0"/>
              <w:right w:val="single" w:color="000000" w:sz="4" w:space="0"/>
            </w:tcBorders>
            <w:shd w:val="clear"/>
            <w:noWrap/>
            <w:vAlign w:val="center"/>
          </w:tcPr>
          <w:p>
            <w:pPr>
              <w:jc w:val="center"/>
              <w:rPr>
                <w:rFonts w:hint="eastAsia" w:ascii="方正仿宋_GB2312" w:hAnsi="方正仿宋_GB2312" w:eastAsia="方正仿宋_GB2312" w:cs="方正仿宋_GB2312"/>
                <w:sz w:val="32"/>
                <w:szCs w:val="32"/>
                <w:vertAlign w:val="baseline"/>
                <w:lang w:val="en-US" w:eastAsia="zh-CN"/>
              </w:rPr>
            </w:pPr>
            <w:r>
              <w:rPr>
                <w:rFonts w:hint="eastAsia" w:ascii="方正仿宋_GB2312" w:hAnsi="方正仿宋_GB2312" w:eastAsia="方正仿宋_GB2312" w:cs="方正仿宋_GB2312"/>
                <w:sz w:val="32"/>
                <w:szCs w:val="32"/>
                <w:vertAlign w:val="baseline"/>
                <w:lang w:val="en-US" w:eastAsia="zh-CN"/>
              </w:rPr>
              <w:t>20</w:t>
            </w:r>
          </w:p>
        </w:tc>
      </w:tr>
      <w:tr>
        <w:tblPrEx>
          <w:tblCellMar>
            <w:top w:w="0" w:type="dxa"/>
            <w:left w:w="108" w:type="dxa"/>
            <w:bottom w:w="0" w:type="dxa"/>
            <w:right w:w="108" w:type="dxa"/>
          </w:tblCellMar>
        </w:tblPrEx>
        <w:trPr>
          <w:trHeight w:val="270" w:hRule="atLeast"/>
        </w:trPr>
        <w:tc>
          <w:tcPr>
            <w:tcW w:w="1176" w:type="dxa"/>
            <w:tcBorders>
              <w:top w:val="single" w:color="000000" w:sz="4" w:space="0"/>
              <w:left w:val="single" w:color="000000" w:sz="4" w:space="0"/>
              <w:bottom w:val="single" w:color="000000" w:sz="4" w:space="0"/>
              <w:right w:val="single" w:color="000000" w:sz="4" w:space="0"/>
            </w:tcBorders>
            <w:shd w:val="clear"/>
            <w:noWrap/>
            <w:vAlign w:val="center"/>
          </w:tcPr>
          <w:p>
            <w:pPr>
              <w:jc w:val="center"/>
              <w:rPr>
                <w:rFonts w:hint="eastAsia" w:ascii="方正仿宋_GB2312" w:hAnsi="方正仿宋_GB2312" w:eastAsia="方正仿宋_GB2312" w:cs="方正仿宋_GB2312"/>
                <w:sz w:val="32"/>
                <w:szCs w:val="32"/>
                <w:vertAlign w:val="baseline"/>
                <w:lang w:val="en-US" w:eastAsia="zh-CN"/>
              </w:rPr>
            </w:pPr>
            <w:r>
              <w:rPr>
                <w:rFonts w:hint="eastAsia" w:ascii="方正仿宋_GB2312" w:hAnsi="方正仿宋_GB2312" w:eastAsia="方正仿宋_GB2312" w:cs="方正仿宋_GB2312"/>
                <w:sz w:val="32"/>
                <w:szCs w:val="32"/>
                <w:vertAlign w:val="baseline"/>
                <w:lang w:val="en-US" w:eastAsia="zh-CN"/>
              </w:rPr>
              <w:t>得分</w:t>
            </w:r>
          </w:p>
        </w:tc>
        <w:tc>
          <w:tcPr>
            <w:tcW w:w="2188" w:type="dxa"/>
            <w:tcBorders>
              <w:top w:val="single" w:color="000000" w:sz="4" w:space="0"/>
              <w:left w:val="single" w:color="000000" w:sz="4" w:space="0"/>
              <w:bottom w:val="single" w:color="000000" w:sz="4" w:space="0"/>
              <w:right w:val="single" w:color="000000" w:sz="4" w:space="0"/>
            </w:tcBorders>
            <w:shd w:val="clear"/>
            <w:noWrap/>
            <w:vAlign w:val="center"/>
          </w:tcPr>
          <w:p>
            <w:pPr>
              <w:jc w:val="center"/>
              <w:rPr>
                <w:rFonts w:hint="eastAsia" w:ascii="方正仿宋_GB2312" w:hAnsi="方正仿宋_GB2312" w:eastAsia="方正仿宋_GB2312" w:cs="方正仿宋_GB2312"/>
                <w:sz w:val="32"/>
                <w:szCs w:val="32"/>
                <w:vertAlign w:val="baseline"/>
                <w:lang w:val="en-US" w:eastAsia="zh-CN"/>
              </w:rPr>
            </w:pPr>
          </w:p>
        </w:tc>
        <w:tc>
          <w:tcPr>
            <w:tcW w:w="1650" w:type="dxa"/>
            <w:tcBorders>
              <w:top w:val="single" w:color="000000" w:sz="4" w:space="0"/>
              <w:left w:val="single" w:color="000000" w:sz="4" w:space="0"/>
              <w:bottom w:val="single" w:color="000000" w:sz="4" w:space="0"/>
              <w:right w:val="single" w:color="000000" w:sz="4" w:space="0"/>
            </w:tcBorders>
            <w:shd w:val="clear"/>
            <w:noWrap/>
            <w:vAlign w:val="center"/>
          </w:tcPr>
          <w:p>
            <w:pPr>
              <w:jc w:val="center"/>
              <w:rPr>
                <w:rFonts w:hint="eastAsia" w:ascii="方正仿宋_GB2312" w:hAnsi="方正仿宋_GB2312" w:eastAsia="方正仿宋_GB2312" w:cs="方正仿宋_GB2312"/>
                <w:sz w:val="32"/>
                <w:szCs w:val="32"/>
                <w:vertAlign w:val="baseline"/>
                <w:lang w:val="en-US" w:eastAsia="zh-CN"/>
              </w:rPr>
            </w:pPr>
          </w:p>
        </w:tc>
        <w:tc>
          <w:tcPr>
            <w:tcW w:w="1907" w:type="dxa"/>
            <w:tcBorders>
              <w:top w:val="single" w:color="000000" w:sz="4" w:space="0"/>
              <w:left w:val="single" w:color="000000" w:sz="4" w:space="0"/>
              <w:bottom w:val="single" w:color="000000" w:sz="4" w:space="0"/>
              <w:right w:val="single" w:color="000000" w:sz="4" w:space="0"/>
            </w:tcBorders>
            <w:shd w:val="clear"/>
            <w:noWrap/>
            <w:vAlign w:val="center"/>
          </w:tcPr>
          <w:p>
            <w:pPr>
              <w:jc w:val="center"/>
              <w:rPr>
                <w:rFonts w:hint="eastAsia" w:ascii="方正仿宋_GB2312" w:hAnsi="方正仿宋_GB2312" w:eastAsia="方正仿宋_GB2312" w:cs="方正仿宋_GB2312"/>
                <w:sz w:val="32"/>
                <w:szCs w:val="32"/>
                <w:vertAlign w:val="baseline"/>
                <w:lang w:val="en-US" w:eastAsia="zh-CN"/>
              </w:rPr>
            </w:pPr>
          </w:p>
        </w:tc>
        <w:tc>
          <w:tcPr>
            <w:tcW w:w="1393" w:type="dxa"/>
            <w:tcBorders>
              <w:top w:val="single" w:color="000000" w:sz="4" w:space="0"/>
              <w:left w:val="single" w:color="000000" w:sz="4" w:space="0"/>
              <w:bottom w:val="single" w:color="000000" w:sz="4" w:space="0"/>
              <w:right w:val="single" w:color="000000" w:sz="4" w:space="0"/>
            </w:tcBorders>
            <w:shd w:val="clear"/>
            <w:noWrap/>
            <w:vAlign w:val="center"/>
          </w:tcPr>
          <w:p>
            <w:pPr>
              <w:jc w:val="center"/>
              <w:rPr>
                <w:rFonts w:hint="eastAsia" w:ascii="方正仿宋_GB2312" w:hAnsi="方正仿宋_GB2312" w:eastAsia="方正仿宋_GB2312" w:cs="方正仿宋_GB2312"/>
                <w:sz w:val="32"/>
                <w:szCs w:val="32"/>
                <w:vertAlign w:val="baseline"/>
                <w:lang w:val="en-US" w:eastAsia="zh-CN"/>
              </w:rPr>
            </w:pPr>
            <w:bookmarkStart w:id="0" w:name="_GoBack"/>
            <w:bookmarkEnd w:id="0"/>
          </w:p>
        </w:tc>
      </w:tr>
    </w:tbl>
    <w:p>
      <w:pPr>
        <w:numPr>
          <w:numId w:val="0"/>
        </w:numPr>
        <w:rPr>
          <w:rFonts w:hint="default" w:ascii="方正仿宋_GB2312" w:hAnsi="方正仿宋_GB2312" w:eastAsia="方正仿宋_GB2312" w:cs="方正仿宋_GB2312"/>
          <w:sz w:val="32"/>
          <w:szCs w:val="32"/>
          <w:lang w:val="en-US" w:eastAsia="zh-CN"/>
        </w:rPr>
      </w:pPr>
    </w:p>
    <w:p>
      <w:pPr>
        <w:rPr>
          <w:rFonts w:hint="default" w:ascii="黑体" w:hAnsi="黑体" w:eastAsia="黑体" w:cs="黑体"/>
          <w:sz w:val="32"/>
          <w:szCs w:val="32"/>
          <w:lang w:val="en-US" w:eastAsia="zh-CN"/>
        </w:rPr>
      </w:pPr>
      <w:r>
        <w:rPr>
          <w:rFonts w:hint="eastAsia" w:ascii="黑体" w:hAnsi="黑体" w:eastAsia="黑体" w:cs="黑体"/>
          <w:sz w:val="32"/>
          <w:szCs w:val="32"/>
          <w:lang w:val="en-US" w:eastAsia="zh-CN"/>
        </w:rPr>
        <w:t>九、901/902布局信息</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80"/>
        <w:gridCol w:w="1607"/>
        <w:gridCol w:w="1414"/>
        <w:gridCol w:w="2416"/>
        <w:gridCol w:w="17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0" w:type="dxa"/>
          </w:tcPr>
          <w:p>
            <w:pPr>
              <w:jc w:val="center"/>
              <w:rPr>
                <w:rFonts w:hint="default" w:ascii="方正仿宋_GB2312" w:hAnsi="方正仿宋_GB2312" w:eastAsia="方正仿宋_GB2312" w:cs="方正仿宋_GB2312"/>
                <w:sz w:val="32"/>
                <w:szCs w:val="32"/>
                <w:vertAlign w:val="baseline"/>
                <w:lang w:val="en-US" w:eastAsia="zh-CN"/>
              </w:rPr>
            </w:pPr>
            <w:r>
              <w:rPr>
                <w:rFonts w:hint="default" w:ascii="方正仿宋_GB2312" w:hAnsi="方正仿宋_GB2312" w:eastAsia="方正仿宋_GB2312" w:cs="方正仿宋_GB2312"/>
                <w:sz w:val="32"/>
                <w:szCs w:val="32"/>
                <w:vertAlign w:val="baseline"/>
                <w:lang w:val="en-US" w:eastAsia="zh-CN"/>
              </w:rPr>
              <w:t>序号</w:t>
            </w:r>
          </w:p>
        </w:tc>
        <w:tc>
          <w:tcPr>
            <w:tcW w:w="1607" w:type="dxa"/>
          </w:tcPr>
          <w:p>
            <w:pPr>
              <w:jc w:val="center"/>
              <w:rPr>
                <w:rFonts w:hint="default" w:ascii="方正仿宋_GB2312" w:hAnsi="方正仿宋_GB2312" w:eastAsia="方正仿宋_GB2312" w:cs="方正仿宋_GB2312"/>
                <w:sz w:val="32"/>
                <w:szCs w:val="32"/>
                <w:vertAlign w:val="baseline"/>
                <w:lang w:val="en-US" w:eastAsia="zh-CN"/>
              </w:rPr>
            </w:pPr>
            <w:r>
              <w:rPr>
                <w:rFonts w:hint="eastAsia" w:ascii="方正仿宋_GB2312" w:hAnsi="方正仿宋_GB2312" w:eastAsia="方正仿宋_GB2312" w:cs="方正仿宋_GB2312"/>
                <w:sz w:val="32"/>
                <w:szCs w:val="32"/>
                <w:vertAlign w:val="baseline"/>
                <w:lang w:val="en-US" w:eastAsia="zh-CN"/>
              </w:rPr>
              <w:t>房间号</w:t>
            </w:r>
          </w:p>
        </w:tc>
        <w:tc>
          <w:tcPr>
            <w:tcW w:w="1414" w:type="dxa"/>
          </w:tcPr>
          <w:p>
            <w:pPr>
              <w:jc w:val="center"/>
              <w:rPr>
                <w:rFonts w:hint="default" w:ascii="方正仿宋_GB2312" w:hAnsi="方正仿宋_GB2312" w:eastAsia="方正仿宋_GB2312" w:cs="方正仿宋_GB2312"/>
                <w:sz w:val="32"/>
                <w:szCs w:val="32"/>
                <w:vertAlign w:val="baseline"/>
                <w:lang w:val="en-US" w:eastAsia="zh-CN"/>
              </w:rPr>
            </w:pPr>
            <w:r>
              <w:rPr>
                <w:rFonts w:hint="default" w:ascii="方正仿宋_GB2312" w:hAnsi="方正仿宋_GB2312" w:eastAsia="方正仿宋_GB2312" w:cs="方正仿宋_GB2312"/>
                <w:sz w:val="32"/>
                <w:szCs w:val="32"/>
                <w:vertAlign w:val="baseline"/>
                <w:lang w:val="en-US" w:eastAsia="zh-CN"/>
              </w:rPr>
              <w:t>面积㎡</w:t>
            </w:r>
          </w:p>
        </w:tc>
        <w:tc>
          <w:tcPr>
            <w:tcW w:w="2416" w:type="dxa"/>
          </w:tcPr>
          <w:p>
            <w:pPr>
              <w:jc w:val="center"/>
              <w:rPr>
                <w:rFonts w:hint="default" w:ascii="方正仿宋_GB2312" w:hAnsi="方正仿宋_GB2312" w:eastAsia="方正仿宋_GB2312" w:cs="方正仿宋_GB2312"/>
                <w:sz w:val="32"/>
                <w:szCs w:val="32"/>
                <w:vertAlign w:val="baseline"/>
                <w:lang w:val="en-US" w:eastAsia="zh-CN"/>
              </w:rPr>
            </w:pPr>
            <w:r>
              <w:rPr>
                <w:rFonts w:hint="default" w:ascii="方正仿宋_GB2312" w:hAnsi="方正仿宋_GB2312" w:eastAsia="方正仿宋_GB2312" w:cs="方正仿宋_GB2312"/>
                <w:sz w:val="32"/>
                <w:szCs w:val="32"/>
                <w:vertAlign w:val="baseline"/>
                <w:lang w:val="en-US" w:eastAsia="zh-CN"/>
              </w:rPr>
              <w:t>吊顶以内高度m</w:t>
            </w:r>
          </w:p>
        </w:tc>
        <w:tc>
          <w:tcPr>
            <w:tcW w:w="1705" w:type="dxa"/>
          </w:tcPr>
          <w:p>
            <w:pPr>
              <w:jc w:val="center"/>
              <w:rPr>
                <w:rFonts w:hint="default" w:ascii="方正仿宋_GB2312" w:hAnsi="方正仿宋_GB2312" w:eastAsia="方正仿宋_GB2312" w:cs="方正仿宋_GB2312"/>
                <w:sz w:val="32"/>
                <w:szCs w:val="32"/>
                <w:vertAlign w:val="baseline"/>
                <w:lang w:val="en-US" w:eastAsia="zh-CN"/>
              </w:rPr>
            </w:pPr>
            <w:r>
              <w:rPr>
                <w:rFonts w:hint="eastAsia" w:ascii="方正仿宋_GB2312" w:hAnsi="方正仿宋_GB2312" w:eastAsia="方正仿宋_GB2312" w:cs="方正仿宋_GB2312"/>
                <w:sz w:val="32"/>
                <w:szCs w:val="32"/>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0" w:type="dxa"/>
          </w:tcPr>
          <w:p>
            <w:pPr>
              <w:jc w:val="center"/>
              <w:rPr>
                <w:rFonts w:hint="default" w:ascii="方正仿宋_GB2312" w:hAnsi="方正仿宋_GB2312" w:eastAsia="方正仿宋_GB2312" w:cs="方正仿宋_GB2312"/>
                <w:sz w:val="32"/>
                <w:szCs w:val="32"/>
                <w:vertAlign w:val="baseline"/>
                <w:lang w:val="en-US" w:eastAsia="zh-CN"/>
              </w:rPr>
            </w:pPr>
            <w:r>
              <w:rPr>
                <w:rFonts w:hint="eastAsia" w:ascii="方正仿宋_GB2312" w:hAnsi="方正仿宋_GB2312" w:eastAsia="方正仿宋_GB2312" w:cs="方正仿宋_GB2312"/>
                <w:sz w:val="32"/>
                <w:szCs w:val="32"/>
                <w:vertAlign w:val="baseline"/>
                <w:lang w:val="en-US" w:eastAsia="zh-CN"/>
              </w:rPr>
              <w:t>1</w:t>
            </w:r>
          </w:p>
        </w:tc>
        <w:tc>
          <w:tcPr>
            <w:tcW w:w="1607" w:type="dxa"/>
          </w:tcPr>
          <w:p>
            <w:pPr>
              <w:jc w:val="center"/>
              <w:rPr>
                <w:rFonts w:hint="default" w:ascii="方正仿宋_GB2312" w:hAnsi="方正仿宋_GB2312" w:eastAsia="方正仿宋_GB2312" w:cs="方正仿宋_GB2312"/>
                <w:sz w:val="32"/>
                <w:szCs w:val="32"/>
                <w:vertAlign w:val="baseline"/>
                <w:lang w:val="en-US" w:eastAsia="zh-CN"/>
              </w:rPr>
            </w:pPr>
            <w:r>
              <w:rPr>
                <w:rFonts w:hint="eastAsia" w:ascii="方正仿宋_GB2312" w:hAnsi="方正仿宋_GB2312" w:eastAsia="方正仿宋_GB2312" w:cs="方正仿宋_GB2312"/>
                <w:sz w:val="32"/>
                <w:szCs w:val="32"/>
                <w:vertAlign w:val="baseline"/>
                <w:lang w:val="en-US" w:eastAsia="zh-CN"/>
              </w:rPr>
              <w:t>901</w:t>
            </w:r>
          </w:p>
        </w:tc>
        <w:tc>
          <w:tcPr>
            <w:tcW w:w="1414" w:type="dxa"/>
          </w:tcPr>
          <w:p>
            <w:pPr>
              <w:jc w:val="center"/>
              <w:rPr>
                <w:rFonts w:hint="default" w:ascii="方正仿宋_GB2312" w:hAnsi="方正仿宋_GB2312" w:eastAsia="方正仿宋_GB2312" w:cs="方正仿宋_GB2312"/>
                <w:sz w:val="32"/>
                <w:szCs w:val="32"/>
                <w:vertAlign w:val="baseline"/>
                <w:lang w:val="en-US" w:eastAsia="zh-CN"/>
              </w:rPr>
            </w:pPr>
            <w:r>
              <w:rPr>
                <w:rFonts w:hint="eastAsia" w:ascii="方正仿宋_GB2312" w:hAnsi="方正仿宋_GB2312" w:eastAsia="方正仿宋_GB2312" w:cs="方正仿宋_GB2312"/>
                <w:sz w:val="32"/>
                <w:szCs w:val="32"/>
                <w:vertAlign w:val="baseline"/>
                <w:lang w:val="en-US" w:eastAsia="zh-CN"/>
              </w:rPr>
              <w:t>193</w:t>
            </w:r>
          </w:p>
        </w:tc>
        <w:tc>
          <w:tcPr>
            <w:tcW w:w="2416" w:type="dxa"/>
          </w:tcPr>
          <w:p>
            <w:pPr>
              <w:jc w:val="center"/>
              <w:rPr>
                <w:rFonts w:hint="default" w:ascii="方正仿宋_GB2312" w:hAnsi="方正仿宋_GB2312" w:eastAsia="方正仿宋_GB2312" w:cs="方正仿宋_GB2312"/>
                <w:sz w:val="32"/>
                <w:szCs w:val="32"/>
                <w:vertAlign w:val="baseline"/>
                <w:lang w:val="en-US" w:eastAsia="zh-CN"/>
              </w:rPr>
            </w:pPr>
            <w:r>
              <w:rPr>
                <w:rFonts w:hint="eastAsia" w:ascii="方正仿宋_GB2312" w:hAnsi="方正仿宋_GB2312" w:eastAsia="方正仿宋_GB2312" w:cs="方正仿宋_GB2312"/>
                <w:sz w:val="32"/>
                <w:szCs w:val="32"/>
                <w:vertAlign w:val="baseline"/>
                <w:lang w:val="en-US" w:eastAsia="zh-CN"/>
              </w:rPr>
              <w:t>5.1-2.2</w:t>
            </w:r>
          </w:p>
        </w:tc>
        <w:tc>
          <w:tcPr>
            <w:tcW w:w="1705" w:type="dxa"/>
          </w:tcPr>
          <w:p>
            <w:pPr>
              <w:jc w:val="center"/>
              <w:rPr>
                <w:rFonts w:hint="default" w:ascii="方正仿宋_GB2312" w:hAnsi="方正仿宋_GB2312" w:eastAsia="方正仿宋_GB2312" w:cs="方正仿宋_GB2312"/>
                <w:sz w:val="32"/>
                <w:szCs w:val="32"/>
                <w:vertAlign w:val="baseline"/>
                <w:lang w:val="en-US" w:eastAsia="zh-CN"/>
              </w:rPr>
            </w:pPr>
            <w:r>
              <w:rPr>
                <w:rFonts w:hint="eastAsia" w:ascii="方正仿宋_GB2312" w:hAnsi="方正仿宋_GB2312" w:eastAsia="方正仿宋_GB2312" w:cs="方正仿宋_GB2312"/>
                <w:sz w:val="32"/>
                <w:szCs w:val="32"/>
                <w:vertAlign w:val="baseline"/>
                <w:lang w:val="en-US" w:eastAsia="zh-CN"/>
              </w:rPr>
              <w:t>阶梯教室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0" w:type="dxa"/>
          </w:tcPr>
          <w:p>
            <w:pPr>
              <w:jc w:val="center"/>
              <w:rPr>
                <w:rFonts w:hint="default" w:ascii="方正仿宋_GB2312" w:hAnsi="方正仿宋_GB2312" w:eastAsia="方正仿宋_GB2312" w:cs="方正仿宋_GB2312"/>
                <w:sz w:val="32"/>
                <w:szCs w:val="32"/>
                <w:vertAlign w:val="baseline"/>
                <w:lang w:val="en-US" w:eastAsia="zh-CN"/>
              </w:rPr>
            </w:pPr>
            <w:r>
              <w:rPr>
                <w:rFonts w:hint="eastAsia" w:ascii="方正仿宋_GB2312" w:hAnsi="方正仿宋_GB2312" w:eastAsia="方正仿宋_GB2312" w:cs="方正仿宋_GB2312"/>
                <w:sz w:val="32"/>
                <w:szCs w:val="32"/>
                <w:vertAlign w:val="baseline"/>
                <w:lang w:val="en-US" w:eastAsia="zh-CN"/>
              </w:rPr>
              <w:t>2</w:t>
            </w:r>
          </w:p>
        </w:tc>
        <w:tc>
          <w:tcPr>
            <w:tcW w:w="1607" w:type="dxa"/>
          </w:tcPr>
          <w:p>
            <w:pPr>
              <w:jc w:val="center"/>
              <w:rPr>
                <w:rFonts w:hint="default" w:ascii="方正仿宋_GB2312" w:hAnsi="方正仿宋_GB2312" w:eastAsia="方正仿宋_GB2312" w:cs="方正仿宋_GB2312"/>
                <w:sz w:val="32"/>
                <w:szCs w:val="32"/>
                <w:vertAlign w:val="baseline"/>
                <w:lang w:val="en-US" w:eastAsia="zh-CN"/>
              </w:rPr>
            </w:pPr>
            <w:r>
              <w:rPr>
                <w:rFonts w:hint="eastAsia" w:ascii="方正仿宋_GB2312" w:hAnsi="方正仿宋_GB2312" w:eastAsia="方正仿宋_GB2312" w:cs="方正仿宋_GB2312"/>
                <w:sz w:val="32"/>
                <w:szCs w:val="32"/>
                <w:vertAlign w:val="baseline"/>
                <w:lang w:val="en-US" w:eastAsia="zh-CN"/>
              </w:rPr>
              <w:t>902</w:t>
            </w:r>
          </w:p>
        </w:tc>
        <w:tc>
          <w:tcPr>
            <w:tcW w:w="1414" w:type="dxa"/>
          </w:tcPr>
          <w:p>
            <w:pPr>
              <w:jc w:val="center"/>
              <w:rPr>
                <w:rFonts w:hint="default" w:ascii="方正仿宋_GB2312" w:hAnsi="方正仿宋_GB2312" w:eastAsia="方正仿宋_GB2312" w:cs="方正仿宋_GB2312"/>
                <w:sz w:val="32"/>
                <w:szCs w:val="32"/>
                <w:vertAlign w:val="baseline"/>
                <w:lang w:val="en-US" w:eastAsia="zh-CN"/>
              </w:rPr>
            </w:pPr>
            <w:r>
              <w:rPr>
                <w:rFonts w:hint="eastAsia" w:ascii="方正仿宋_GB2312" w:hAnsi="方正仿宋_GB2312" w:eastAsia="方正仿宋_GB2312" w:cs="方正仿宋_GB2312"/>
                <w:sz w:val="32"/>
                <w:szCs w:val="32"/>
                <w:vertAlign w:val="baseline"/>
                <w:lang w:val="en-US" w:eastAsia="zh-CN"/>
              </w:rPr>
              <w:t>83</w:t>
            </w:r>
          </w:p>
        </w:tc>
        <w:tc>
          <w:tcPr>
            <w:tcW w:w="2416" w:type="dxa"/>
          </w:tcPr>
          <w:p>
            <w:pPr>
              <w:jc w:val="center"/>
              <w:rPr>
                <w:rFonts w:hint="default" w:ascii="方正仿宋_GB2312" w:hAnsi="方正仿宋_GB2312" w:eastAsia="方正仿宋_GB2312" w:cs="方正仿宋_GB2312"/>
                <w:sz w:val="32"/>
                <w:szCs w:val="32"/>
                <w:vertAlign w:val="baseline"/>
                <w:lang w:val="en-US" w:eastAsia="zh-CN"/>
              </w:rPr>
            </w:pPr>
            <w:r>
              <w:rPr>
                <w:rFonts w:hint="eastAsia" w:ascii="方正仿宋_GB2312" w:hAnsi="方正仿宋_GB2312" w:eastAsia="方正仿宋_GB2312" w:cs="方正仿宋_GB2312"/>
                <w:sz w:val="32"/>
                <w:szCs w:val="32"/>
                <w:vertAlign w:val="baseline"/>
                <w:lang w:val="en-US" w:eastAsia="zh-CN"/>
              </w:rPr>
              <w:t>2.8</w:t>
            </w:r>
          </w:p>
        </w:tc>
        <w:tc>
          <w:tcPr>
            <w:tcW w:w="1705" w:type="dxa"/>
          </w:tcPr>
          <w:p>
            <w:pPr>
              <w:jc w:val="center"/>
              <w:rPr>
                <w:rFonts w:hint="default" w:ascii="方正仿宋_GB2312" w:hAnsi="方正仿宋_GB2312" w:eastAsia="方正仿宋_GB2312" w:cs="方正仿宋_GB2312"/>
                <w:sz w:val="32"/>
                <w:szCs w:val="32"/>
                <w:vertAlign w:val="baseline"/>
                <w:lang w:val="en-US" w:eastAsia="zh-CN"/>
              </w:rPr>
            </w:pPr>
            <w:r>
              <w:rPr>
                <w:rFonts w:hint="eastAsia" w:ascii="方正仿宋_GB2312" w:hAnsi="方正仿宋_GB2312" w:eastAsia="方正仿宋_GB2312" w:cs="方正仿宋_GB2312"/>
                <w:sz w:val="32"/>
                <w:szCs w:val="32"/>
                <w:vertAlign w:val="baseline"/>
                <w:lang w:val="en-US" w:eastAsia="zh-CN"/>
              </w:rPr>
              <w:t>平层</w:t>
            </w:r>
          </w:p>
        </w:tc>
      </w:tr>
    </w:tbl>
    <w:p>
      <w:pPr>
        <w:rPr>
          <w:rFonts w:hint="default" w:ascii="黑体" w:hAnsi="黑体" w:eastAsia="黑体" w:cs="黑体"/>
          <w:sz w:val="32"/>
          <w:szCs w:val="32"/>
          <w:lang w:val="en-US" w:eastAsia="zh-CN"/>
        </w:rPr>
      </w:pPr>
      <w:r>
        <w:rPr>
          <w:rFonts w:hint="default" w:ascii="黑体" w:hAnsi="黑体" w:eastAsia="黑体" w:cs="黑体"/>
          <w:sz w:val="32"/>
          <w:szCs w:val="32"/>
          <w:lang w:val="en-US" w:eastAsia="zh-CN"/>
        </w:rPr>
        <w:drawing>
          <wp:inline distT="0" distB="0" distL="114300" distR="114300">
            <wp:extent cx="5274310" cy="7464425"/>
            <wp:effectExtent l="0" t="0" r="2540" b="3175"/>
            <wp:docPr id="1" name="图片 1" descr="C:/Users/Administrator/AppData/Local/Temp/picturecompress_20210810095850/output_1.jpgoutpu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Users/Administrator/AppData/Local/Temp/picturecompress_20210810095850/output_1.jpgoutput_1"/>
                    <pic:cNvPicPr>
                      <a:picLocks noChangeAspect="1"/>
                    </pic:cNvPicPr>
                  </pic:nvPicPr>
                  <pic:blipFill>
                    <a:blip r:embed="rId4"/>
                    <a:stretch>
                      <a:fillRect/>
                    </a:stretch>
                  </pic:blipFill>
                  <pic:spPr>
                    <a:xfrm>
                      <a:off x="0" y="0"/>
                      <a:ext cx="5274310" cy="7464425"/>
                    </a:xfrm>
                    <a:prstGeom prst="rect">
                      <a:avLst/>
                    </a:prstGeom>
                  </pic:spPr>
                </pic:pic>
              </a:graphicData>
            </a:graphic>
          </wp:inline>
        </w:drawing>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975B1245-3722-47B2-9E8B-C630AE67FC87}"/>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embedRegular r:id="rId2" w:fontKey="{0C134F87-E65C-405D-9223-28F09A18625A}"/>
  </w:font>
  <w:font w:name="方正仿宋_GB2312">
    <w:panose1 w:val="02000000000000000000"/>
    <w:charset w:val="86"/>
    <w:family w:val="auto"/>
    <w:pitch w:val="default"/>
    <w:sig w:usb0="A00002BF" w:usb1="184F6CFA" w:usb2="00000012" w:usb3="00000000" w:csb0="00040001" w:csb1="00000000"/>
    <w:embedRegular r:id="rId3" w:fontKey="{9854442E-B4FE-4981-91A6-B19CAE3C4803}"/>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4CFC45F"/>
    <w:multiLevelType w:val="singleLevel"/>
    <w:tmpl w:val="94CFC45F"/>
    <w:lvl w:ilvl="0" w:tentative="0">
      <w:start w:val="1"/>
      <w:numFmt w:val="decimal"/>
      <w:suff w:val="nothing"/>
      <w:lvlText w:val="（%1）"/>
      <w:lvlJc w:val="left"/>
    </w:lvl>
  </w:abstractNum>
  <w:abstractNum w:abstractNumId="1">
    <w:nsid w:val="BE734844"/>
    <w:multiLevelType w:val="singleLevel"/>
    <w:tmpl w:val="BE734844"/>
    <w:lvl w:ilvl="0" w:tentative="0">
      <w:start w:val="1"/>
      <w:numFmt w:val="chineseCounting"/>
      <w:suff w:val="nothing"/>
      <w:lvlText w:val="%1、"/>
      <w:lvlJc w:val="left"/>
      <w:rPr>
        <w:rFonts w:hint="eastAsia"/>
      </w:rPr>
    </w:lvl>
  </w:abstractNum>
  <w:abstractNum w:abstractNumId="2">
    <w:nsid w:val="FEBC5F70"/>
    <w:multiLevelType w:val="singleLevel"/>
    <w:tmpl w:val="FEBC5F70"/>
    <w:lvl w:ilvl="0" w:tentative="0">
      <w:start w:val="1"/>
      <w:numFmt w:val="decimal"/>
      <w:suff w:val="nothing"/>
      <w:lvlText w:val="%1、"/>
      <w:lvlJc w:val="left"/>
    </w:lvl>
  </w:abstractNum>
  <w:abstractNum w:abstractNumId="3">
    <w:nsid w:val="074090DC"/>
    <w:multiLevelType w:val="singleLevel"/>
    <w:tmpl w:val="074090DC"/>
    <w:lvl w:ilvl="0" w:tentative="0">
      <w:start w:val="1"/>
      <w:numFmt w:val="decimal"/>
      <w:suff w:val="nothing"/>
      <w:lvlText w:val="（%1）"/>
      <w:lvlJc w:val="left"/>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E631F9B"/>
    <w:rsid w:val="0361181B"/>
    <w:rsid w:val="069B399B"/>
    <w:rsid w:val="071625F4"/>
    <w:rsid w:val="0E87082A"/>
    <w:rsid w:val="11C42319"/>
    <w:rsid w:val="15677838"/>
    <w:rsid w:val="20406058"/>
    <w:rsid w:val="22BA225C"/>
    <w:rsid w:val="22D160F0"/>
    <w:rsid w:val="25B108D6"/>
    <w:rsid w:val="27543CBF"/>
    <w:rsid w:val="29434FD5"/>
    <w:rsid w:val="2D263ECE"/>
    <w:rsid w:val="2FD25A52"/>
    <w:rsid w:val="35F82A2F"/>
    <w:rsid w:val="544022B2"/>
    <w:rsid w:val="588F2ED7"/>
    <w:rsid w:val="590A7431"/>
    <w:rsid w:val="5BC01B0A"/>
    <w:rsid w:val="5E631F9B"/>
    <w:rsid w:val="5E634F78"/>
    <w:rsid w:val="64A975D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49</TotalTime>
  <ScaleCrop>false</ScaleCrop>
  <LinksUpToDate>false</LinksUpToDate>
  <CharactersWithSpaces>0</CharactersWithSpaces>
  <Application>WPS Office_11.1.0.10700_F1E327BC-269C-435d-A152-05C5408002CA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2021-07-14T01:11:00Z</dcterms:created>
  <dc:creator>王珏</dc:creator>
  <cp:lastModifiedBy>svfly</cp:lastModifiedBy>
  <cp:lastPrinted>2021-08-10T02:03:00Z</cp:lastPrinted>
  <dcterms:modified xsi:type="dcterms:W3CDTF">2021-08-10T02:45:51Z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2052-11.1.0.10700</vt:lpwstr>
  </property>
  <property fmtid="{D5CDD505-2E9C-101B-9397-08002B2CF9AE}" pid="3" name="ICV">
    <vt:lpwstr>29923CCDF17D4ED79DD3DDB2A2D3A0AB</vt:lpwstr>
  </property>
</Properties>
</file>