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jc w:val="center"/>
        <w:rPr>
          <w:rFonts w:ascii="宋体" w:cs="宋体"/>
          <w:b/>
          <w:color w:val="000000" w:themeColor="text1"/>
          <w:w w:val="85"/>
          <w:kern w:val="0"/>
          <w:sz w:val="44"/>
          <w:szCs w:val="44"/>
          <w14:textFill>
            <w14:solidFill>
              <w14:schemeClr w14:val="tx1"/>
            </w14:solidFill>
          </w14:textFill>
        </w:rPr>
      </w:pPr>
      <w:bookmarkStart w:id="0" w:name="_Toc6286_WPSOffice_Level1"/>
      <w:r>
        <w:rPr>
          <w:rFonts w:hint="eastAsia" w:ascii="宋体" w:hAnsi="宋体" w:cs="宋体"/>
          <w:b/>
          <w:color w:val="000000" w:themeColor="text1"/>
          <w:w w:val="85"/>
          <w:kern w:val="0"/>
          <w:sz w:val="44"/>
          <w:szCs w:val="44"/>
          <w:lang w:eastAsia="zh-CN"/>
          <w14:textFill>
            <w14:solidFill>
              <w14:schemeClr w14:val="tx1"/>
            </w14:solidFill>
          </w14:textFill>
        </w:rPr>
        <w:t>厦门医学院附属第二医院、附属口腔医院</w:t>
      </w:r>
      <w:r>
        <w:rPr>
          <w:rFonts w:hint="eastAsia" w:ascii="宋体" w:hAnsi="宋体" w:cs="宋体"/>
          <w:b/>
          <w:color w:val="000000" w:themeColor="text1"/>
          <w:w w:val="85"/>
          <w:kern w:val="0"/>
          <w:sz w:val="44"/>
          <w:szCs w:val="44"/>
          <w14:textFill>
            <w14:solidFill>
              <w14:schemeClr w14:val="tx1"/>
            </w14:solidFill>
          </w14:textFill>
        </w:rPr>
        <w:t>补充编内工作人员考试报考指南</w:t>
      </w:r>
      <w:bookmarkEnd w:id="0"/>
      <w:r>
        <w:rPr>
          <w:rFonts w:hint="eastAsia" w:ascii="宋体" w:hAnsi="宋体" w:cs="宋体"/>
          <w:b/>
          <w:color w:val="000000" w:themeColor="text1"/>
          <w:w w:val="85"/>
          <w:kern w:val="0"/>
          <w:sz w:val="44"/>
          <w:szCs w:val="44"/>
          <w14:textFill>
            <w14:solidFill>
              <w14:schemeClr w14:val="tx1"/>
            </w14:solidFill>
          </w14:textFill>
        </w:rPr>
        <w:t>（</w:t>
      </w:r>
      <w:r>
        <w:rPr>
          <w:rFonts w:ascii="宋体" w:hAnsi="宋体" w:cs="宋体"/>
          <w:b/>
          <w:color w:val="000000" w:themeColor="text1"/>
          <w:w w:val="85"/>
          <w:kern w:val="0"/>
          <w:sz w:val="44"/>
          <w:szCs w:val="44"/>
          <w14:textFill>
            <w14:solidFill>
              <w14:schemeClr w14:val="tx1"/>
            </w14:solidFill>
          </w14:textFill>
        </w:rPr>
        <w:t>2021</w:t>
      </w:r>
      <w:r>
        <w:rPr>
          <w:rFonts w:hint="eastAsia" w:ascii="宋体" w:hAnsi="宋体" w:cs="宋体"/>
          <w:b/>
          <w:color w:val="000000" w:themeColor="text1"/>
          <w:w w:val="85"/>
          <w:kern w:val="0"/>
          <w:sz w:val="44"/>
          <w:szCs w:val="44"/>
          <w14:textFill>
            <w14:solidFill>
              <w14:schemeClr w14:val="tx1"/>
            </w14:solidFill>
          </w14:textFill>
        </w:rPr>
        <w:t>年</w:t>
      </w:r>
      <w:r>
        <w:rPr>
          <w:rFonts w:ascii="宋体" w:hAnsi="宋体" w:cs="宋体"/>
          <w:b/>
          <w:color w:val="000000" w:themeColor="text1"/>
          <w:w w:val="85"/>
          <w:kern w:val="0"/>
          <w:sz w:val="44"/>
          <w:szCs w:val="44"/>
          <w14:textFill>
            <w14:solidFill>
              <w14:schemeClr w14:val="tx1"/>
            </w14:solidFill>
          </w14:textFill>
        </w:rPr>
        <w:t>4</w:t>
      </w:r>
      <w:r>
        <w:rPr>
          <w:rFonts w:hint="eastAsia" w:ascii="宋体" w:hAnsi="宋体" w:cs="宋体"/>
          <w:b/>
          <w:color w:val="000000" w:themeColor="text1"/>
          <w:w w:val="85"/>
          <w:kern w:val="0"/>
          <w:sz w:val="44"/>
          <w:szCs w:val="44"/>
          <w14:textFill>
            <w14:solidFill>
              <w14:schemeClr w14:val="tx1"/>
            </w14:solidFill>
          </w14:textFill>
        </w:rPr>
        <w:t>月）</w:t>
      </w:r>
    </w:p>
    <w:p>
      <w:pPr>
        <w:jc w:val="center"/>
        <w:rPr>
          <w:rFonts w:ascii="宋体"/>
          <w:b/>
          <w:bCs/>
          <w:color w:val="000000" w:themeColor="text1"/>
          <w:sz w:val="44"/>
          <w:szCs w:val="44"/>
          <w14:textFill>
            <w14:solidFill>
              <w14:schemeClr w14:val="tx1"/>
            </w14:solidFill>
          </w14:textFill>
        </w:rPr>
      </w:pPr>
    </w:p>
    <w:p>
      <w:pPr>
        <w:spacing w:afterLines="100" w:line="500" w:lineRule="exact"/>
        <w:jc w:val="center"/>
        <w:rPr>
          <w:rFonts w:ascii="宋体"/>
          <w:b/>
          <w:bCs/>
          <w:color w:val="000000" w:themeColor="text1"/>
          <w:sz w:val="44"/>
          <w:szCs w:val="44"/>
          <w14:textFill>
            <w14:solidFill>
              <w14:schemeClr w14:val="tx1"/>
            </w14:solidFill>
          </w14:textFill>
        </w:rPr>
      </w:pPr>
      <w:r>
        <w:rPr>
          <w:rFonts w:hint="eastAsia" w:ascii="宋体" w:hAnsi="宋体"/>
          <w:b/>
          <w:bCs/>
          <w:color w:val="000000" w:themeColor="text1"/>
          <w:sz w:val="44"/>
          <w:szCs w:val="44"/>
          <w14:textFill>
            <w14:solidFill>
              <w14:schemeClr w14:val="tx1"/>
            </w14:solidFill>
          </w14:textFill>
        </w:rPr>
        <w:t>目录</w:t>
      </w:r>
    </w:p>
    <w:p>
      <w:pPr>
        <w:pStyle w:val="18"/>
        <w:tabs>
          <w:tab w:val="right" w:leader="dot" w:pos="8306"/>
        </w:tabs>
        <w:spacing w:line="420" w:lineRule="exact"/>
        <w:rPr>
          <w:rFonts w:ascii="黑体" w:hAnsi="黑体" w:eastAsia="黑体" w:cs="黑体"/>
          <w:color w:val="000000" w:themeColor="text1"/>
          <w:sz w:val="28"/>
          <w:szCs w:val="28"/>
          <w14:textFill>
            <w14:solidFill>
              <w14:schemeClr w14:val="tx1"/>
            </w14:solidFill>
          </w14:textFill>
        </w:rPr>
      </w:pPr>
      <w:r>
        <w:rPr>
          <w:rFonts w:ascii="黑体" w:hAnsi="黑体" w:eastAsia="黑体" w:cs="黑体"/>
          <w:color w:val="000000" w:themeColor="text1"/>
          <w:sz w:val="28"/>
          <w:szCs w:val="28"/>
          <w14:textFill>
            <w14:solidFill>
              <w14:schemeClr w14:val="tx1"/>
            </w14:solidFill>
          </w14:textFill>
        </w:rPr>
        <w:fldChar w:fldCharType="begin"/>
      </w:r>
      <w:r>
        <w:rPr>
          <w:rFonts w:ascii="黑体" w:hAnsi="黑体" w:eastAsia="黑体" w:cs="黑体"/>
          <w:color w:val="000000" w:themeColor="text1"/>
          <w:sz w:val="28"/>
          <w:szCs w:val="28"/>
          <w14:textFill>
            <w14:solidFill>
              <w14:schemeClr w14:val="tx1"/>
            </w14:solidFill>
          </w14:textFill>
        </w:rPr>
        <w:instrText xml:space="preserve">TOC \o "1-2" \h \u </w:instrText>
      </w:r>
      <w:r>
        <w:rPr>
          <w:rFonts w:ascii="黑体" w:hAnsi="黑体" w:eastAsia="黑体" w:cs="黑体"/>
          <w:color w:val="000000" w:themeColor="text1"/>
          <w:sz w:val="28"/>
          <w:szCs w:val="28"/>
          <w14:textFill>
            <w14:solidFill>
              <w14:schemeClr w14:val="tx1"/>
            </w14:solidFill>
          </w14:textFill>
        </w:rPr>
        <w:fldChar w:fldCharType="separate"/>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"_Toc10459" </w:instrText>
      </w:r>
      <w:r>
        <w:rPr>
          <w:color w:val="000000" w:themeColor="text1"/>
          <w14:textFill>
            <w14:solidFill>
              <w14:schemeClr w14:val="tx1"/>
            </w14:solidFill>
          </w14:textFill>
        </w:rPr>
        <w:fldChar w:fldCharType="separate"/>
      </w:r>
      <w:r>
        <w:rPr>
          <w:rFonts w:hint="eastAsia" w:ascii="黑体" w:hAnsi="黑体" w:eastAsia="黑体" w:cs="黑体"/>
          <w:color w:val="000000" w:themeColor="text1"/>
          <w:sz w:val="28"/>
          <w:szCs w:val="28"/>
          <w14:textFill>
            <w14:solidFill>
              <w14:schemeClr w14:val="tx1"/>
            </w14:solidFill>
          </w14:textFill>
        </w:rPr>
        <w:t>一、基本条件</w:t>
      </w:r>
      <w:r>
        <w:rPr>
          <w:rFonts w:ascii="黑体" w:hAnsi="黑体" w:eastAsia="黑体" w:cs="黑体"/>
          <w:color w:val="000000" w:themeColor="text1"/>
          <w:sz w:val="28"/>
          <w:szCs w:val="28"/>
          <w14:textFill>
            <w14:solidFill>
              <w14:schemeClr w14:val="tx1"/>
            </w14:solidFill>
          </w14:textFill>
        </w:rPr>
        <w:tab/>
      </w:r>
      <w:r>
        <w:rPr>
          <w:rFonts w:ascii="黑体" w:hAnsi="黑体" w:eastAsia="黑体" w:cs="黑体"/>
          <w:color w:val="000000" w:themeColor="text1"/>
          <w:sz w:val="28"/>
          <w:szCs w:val="28"/>
          <w14:textFill>
            <w14:solidFill>
              <w14:schemeClr w14:val="tx1"/>
            </w14:solidFill>
          </w14:textFill>
        </w:rPr>
        <w:fldChar w:fldCharType="begin"/>
      </w:r>
      <w:r>
        <w:rPr>
          <w:rFonts w:ascii="黑体" w:hAnsi="黑体" w:eastAsia="黑体" w:cs="黑体"/>
          <w:color w:val="000000" w:themeColor="text1"/>
          <w:sz w:val="28"/>
          <w:szCs w:val="28"/>
          <w14:textFill>
            <w14:solidFill>
              <w14:schemeClr w14:val="tx1"/>
            </w14:solidFill>
          </w14:textFill>
        </w:rPr>
        <w:instrText xml:space="preserve"> PAGEREF _Toc10459 \h </w:instrText>
      </w:r>
      <w:r>
        <w:rPr>
          <w:rFonts w:ascii="黑体" w:hAnsi="黑体" w:eastAsia="黑体" w:cs="黑体"/>
          <w:color w:val="000000" w:themeColor="text1"/>
          <w:sz w:val="28"/>
          <w:szCs w:val="28"/>
          <w14:textFill>
            <w14:solidFill>
              <w14:schemeClr w14:val="tx1"/>
            </w14:solidFill>
          </w14:textFill>
        </w:rPr>
        <w:fldChar w:fldCharType="separate"/>
      </w:r>
      <w:r>
        <w:rPr>
          <w:rFonts w:ascii="黑体" w:hAnsi="黑体" w:eastAsia="黑体" w:cs="黑体"/>
          <w:color w:val="000000" w:themeColor="text1"/>
          <w:sz w:val="28"/>
          <w:szCs w:val="28"/>
          <w14:textFill>
            <w14:solidFill>
              <w14:schemeClr w14:val="tx1"/>
            </w14:solidFill>
          </w14:textFill>
        </w:rPr>
        <w:t>1</w:t>
      </w:r>
      <w:r>
        <w:rPr>
          <w:rFonts w:ascii="黑体" w:hAnsi="黑体" w:eastAsia="黑体" w:cs="黑体"/>
          <w:color w:val="000000" w:themeColor="text1"/>
          <w:sz w:val="28"/>
          <w:szCs w:val="28"/>
          <w14:textFill>
            <w14:solidFill>
              <w14:schemeClr w14:val="tx1"/>
            </w14:solidFill>
          </w14:textFill>
        </w:rPr>
        <w:fldChar w:fldCharType="end"/>
      </w:r>
      <w:r>
        <w:rPr>
          <w:rFonts w:ascii="黑体" w:hAnsi="黑体" w:eastAsia="黑体" w:cs="黑体"/>
          <w:color w:val="000000" w:themeColor="text1"/>
          <w:sz w:val="28"/>
          <w:szCs w:val="28"/>
          <w14:textFill>
            <w14:solidFill>
              <w14:schemeClr w14:val="tx1"/>
            </w14:solidFill>
          </w14:textFill>
        </w:rPr>
        <w:fldChar w:fldCharType="end"/>
      </w:r>
    </w:p>
    <w:p>
      <w:pPr>
        <w:pStyle w:val="18"/>
        <w:tabs>
          <w:tab w:val="right" w:leader="dot" w:pos="8306"/>
        </w:tabs>
        <w:spacing w:line="420" w:lineRule="exact"/>
        <w:rPr>
          <w:rFonts w:ascii="黑体" w:hAnsi="黑体" w:eastAsia="黑体" w:cs="黑体"/>
          <w:color w:val="000000" w:themeColor="text1"/>
          <w:sz w:val="28"/>
          <w:szCs w:val="28"/>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"_Toc25850" </w:instrText>
      </w:r>
      <w:r>
        <w:rPr>
          <w:color w:val="000000" w:themeColor="text1"/>
          <w14:textFill>
            <w14:solidFill>
              <w14:schemeClr w14:val="tx1"/>
            </w14:solidFill>
          </w14:textFill>
        </w:rPr>
        <w:fldChar w:fldCharType="separate"/>
      </w:r>
      <w:r>
        <w:rPr>
          <w:rFonts w:hint="eastAsia" w:ascii="黑体" w:hAnsi="黑体" w:eastAsia="黑体" w:cs="黑体"/>
          <w:color w:val="000000" w:themeColor="text1"/>
          <w:sz w:val="28"/>
          <w:szCs w:val="28"/>
          <w14:textFill>
            <w14:solidFill>
              <w14:schemeClr w14:val="tx1"/>
            </w14:solidFill>
          </w14:textFill>
        </w:rPr>
        <w:t>二、不得报考或取消报考（聘用）资格的情形</w:t>
      </w:r>
      <w:r>
        <w:rPr>
          <w:rFonts w:ascii="黑体" w:hAnsi="黑体" w:eastAsia="黑体" w:cs="黑体"/>
          <w:color w:val="000000" w:themeColor="text1"/>
          <w:sz w:val="28"/>
          <w:szCs w:val="28"/>
          <w14:textFill>
            <w14:solidFill>
              <w14:schemeClr w14:val="tx1"/>
            </w14:solidFill>
          </w14:textFill>
        </w:rPr>
        <w:tab/>
      </w:r>
      <w:r>
        <w:rPr>
          <w:rFonts w:ascii="黑体" w:hAnsi="黑体" w:eastAsia="黑体" w:cs="黑体"/>
          <w:color w:val="000000" w:themeColor="text1"/>
          <w:sz w:val="28"/>
          <w:szCs w:val="28"/>
          <w14:textFill>
            <w14:solidFill>
              <w14:schemeClr w14:val="tx1"/>
            </w14:solidFill>
          </w14:textFill>
        </w:rPr>
        <w:fldChar w:fldCharType="begin"/>
      </w:r>
      <w:r>
        <w:rPr>
          <w:rFonts w:ascii="黑体" w:hAnsi="黑体" w:eastAsia="黑体" w:cs="黑体"/>
          <w:color w:val="000000" w:themeColor="text1"/>
          <w:sz w:val="28"/>
          <w:szCs w:val="28"/>
          <w14:textFill>
            <w14:solidFill>
              <w14:schemeClr w14:val="tx1"/>
            </w14:solidFill>
          </w14:textFill>
        </w:rPr>
        <w:instrText xml:space="preserve"> PAGEREF _Toc25850 \h </w:instrText>
      </w:r>
      <w:r>
        <w:rPr>
          <w:rFonts w:ascii="黑体" w:hAnsi="黑体" w:eastAsia="黑体" w:cs="黑体"/>
          <w:color w:val="000000" w:themeColor="text1"/>
          <w:sz w:val="28"/>
          <w:szCs w:val="28"/>
          <w14:textFill>
            <w14:solidFill>
              <w14:schemeClr w14:val="tx1"/>
            </w14:solidFill>
          </w14:textFill>
        </w:rPr>
        <w:fldChar w:fldCharType="separate"/>
      </w:r>
      <w:r>
        <w:rPr>
          <w:rFonts w:ascii="黑体" w:hAnsi="黑体" w:eastAsia="黑体" w:cs="黑体"/>
          <w:color w:val="000000" w:themeColor="text1"/>
          <w:sz w:val="28"/>
          <w:szCs w:val="28"/>
          <w14:textFill>
            <w14:solidFill>
              <w14:schemeClr w14:val="tx1"/>
            </w14:solidFill>
          </w14:textFill>
        </w:rPr>
        <w:t>1</w:t>
      </w:r>
      <w:r>
        <w:rPr>
          <w:rFonts w:ascii="黑体" w:hAnsi="黑体" w:eastAsia="黑体" w:cs="黑体"/>
          <w:color w:val="000000" w:themeColor="text1"/>
          <w:sz w:val="28"/>
          <w:szCs w:val="28"/>
          <w14:textFill>
            <w14:solidFill>
              <w14:schemeClr w14:val="tx1"/>
            </w14:solidFill>
          </w14:textFill>
        </w:rPr>
        <w:fldChar w:fldCharType="end"/>
      </w:r>
      <w:r>
        <w:rPr>
          <w:rFonts w:ascii="黑体" w:hAnsi="黑体" w:eastAsia="黑体" w:cs="黑体"/>
          <w:color w:val="000000" w:themeColor="text1"/>
          <w:sz w:val="28"/>
          <w:szCs w:val="28"/>
          <w14:textFill>
            <w14:solidFill>
              <w14:schemeClr w14:val="tx1"/>
            </w14:solidFill>
          </w14:textFill>
        </w:rPr>
        <w:fldChar w:fldCharType="end"/>
      </w:r>
    </w:p>
    <w:p>
      <w:pPr>
        <w:pStyle w:val="18"/>
        <w:tabs>
          <w:tab w:val="right" w:leader="dot" w:pos="8306"/>
        </w:tabs>
        <w:spacing w:line="420" w:lineRule="exact"/>
        <w:rPr>
          <w:rFonts w:ascii="黑体" w:hAnsi="黑体" w:eastAsia="黑体" w:cs="黑体"/>
          <w:color w:val="000000" w:themeColor="text1"/>
          <w:sz w:val="28"/>
          <w:szCs w:val="28"/>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"_Toc28345" </w:instrText>
      </w:r>
      <w:r>
        <w:rPr>
          <w:color w:val="000000" w:themeColor="text1"/>
          <w14:textFill>
            <w14:solidFill>
              <w14:schemeClr w14:val="tx1"/>
            </w14:solidFill>
          </w14:textFill>
        </w:rPr>
        <w:fldChar w:fldCharType="separate"/>
      </w:r>
      <w:r>
        <w:rPr>
          <w:rFonts w:hint="eastAsia" w:ascii="黑体" w:hAnsi="黑体" w:eastAsia="黑体" w:cs="黑体"/>
          <w:color w:val="000000" w:themeColor="text1"/>
          <w:sz w:val="28"/>
          <w:szCs w:val="28"/>
          <w14:textFill>
            <w14:solidFill>
              <w14:schemeClr w14:val="tx1"/>
            </w14:solidFill>
          </w14:textFill>
        </w:rPr>
        <w:t>三、选报岗位须知</w:t>
      </w:r>
      <w:r>
        <w:rPr>
          <w:rFonts w:ascii="黑体" w:hAnsi="黑体" w:eastAsia="黑体" w:cs="黑体"/>
          <w:color w:val="000000" w:themeColor="text1"/>
          <w:sz w:val="28"/>
          <w:szCs w:val="28"/>
          <w14:textFill>
            <w14:solidFill>
              <w14:schemeClr w14:val="tx1"/>
            </w14:solidFill>
          </w14:textFill>
        </w:rPr>
        <w:tab/>
      </w:r>
      <w:r>
        <w:rPr>
          <w:rFonts w:ascii="黑体" w:hAnsi="黑体" w:eastAsia="黑体" w:cs="黑体"/>
          <w:color w:val="000000" w:themeColor="text1"/>
          <w:sz w:val="28"/>
          <w:szCs w:val="28"/>
          <w14:textFill>
            <w14:solidFill>
              <w14:schemeClr w14:val="tx1"/>
            </w14:solidFill>
          </w14:textFill>
        </w:rPr>
        <w:fldChar w:fldCharType="begin"/>
      </w:r>
      <w:r>
        <w:rPr>
          <w:rFonts w:ascii="黑体" w:hAnsi="黑体" w:eastAsia="黑体" w:cs="黑体"/>
          <w:color w:val="000000" w:themeColor="text1"/>
          <w:sz w:val="28"/>
          <w:szCs w:val="28"/>
          <w14:textFill>
            <w14:solidFill>
              <w14:schemeClr w14:val="tx1"/>
            </w14:solidFill>
          </w14:textFill>
        </w:rPr>
        <w:instrText xml:space="preserve"> PAGEREF _Toc28345 \h </w:instrText>
      </w:r>
      <w:r>
        <w:rPr>
          <w:rFonts w:ascii="黑体" w:hAnsi="黑体" w:eastAsia="黑体" w:cs="黑体"/>
          <w:color w:val="000000" w:themeColor="text1"/>
          <w:sz w:val="28"/>
          <w:szCs w:val="28"/>
          <w14:textFill>
            <w14:solidFill>
              <w14:schemeClr w14:val="tx1"/>
            </w14:solidFill>
          </w14:textFill>
        </w:rPr>
        <w:fldChar w:fldCharType="separate"/>
      </w:r>
      <w:r>
        <w:rPr>
          <w:rFonts w:ascii="黑体" w:hAnsi="黑体" w:eastAsia="黑体" w:cs="黑体"/>
          <w:color w:val="000000" w:themeColor="text1"/>
          <w:sz w:val="28"/>
          <w:szCs w:val="28"/>
          <w14:textFill>
            <w14:solidFill>
              <w14:schemeClr w14:val="tx1"/>
            </w14:solidFill>
          </w14:textFill>
        </w:rPr>
        <w:t>2</w:t>
      </w:r>
      <w:r>
        <w:rPr>
          <w:rFonts w:ascii="黑体" w:hAnsi="黑体" w:eastAsia="黑体" w:cs="黑体"/>
          <w:color w:val="000000" w:themeColor="text1"/>
          <w:sz w:val="28"/>
          <w:szCs w:val="28"/>
          <w14:textFill>
            <w14:solidFill>
              <w14:schemeClr w14:val="tx1"/>
            </w14:solidFill>
          </w14:textFill>
        </w:rPr>
        <w:fldChar w:fldCharType="end"/>
      </w:r>
      <w:r>
        <w:rPr>
          <w:rFonts w:ascii="黑体" w:hAnsi="黑体" w:eastAsia="黑体" w:cs="黑体"/>
          <w:color w:val="000000" w:themeColor="text1"/>
          <w:sz w:val="28"/>
          <w:szCs w:val="28"/>
          <w14:textFill>
            <w14:solidFill>
              <w14:schemeClr w14:val="tx1"/>
            </w14:solidFill>
          </w14:textFill>
        </w:rPr>
        <w:fldChar w:fldCharType="end"/>
      </w:r>
    </w:p>
    <w:p>
      <w:pPr>
        <w:pStyle w:val="18"/>
        <w:tabs>
          <w:tab w:val="right" w:leader="dot" w:pos="8306"/>
        </w:tabs>
        <w:spacing w:line="420" w:lineRule="exact"/>
        <w:rPr>
          <w:rFonts w:ascii="楷体" w:hAnsi="楷体" w:eastAsia="楷体" w:cs="楷体"/>
          <w:color w:val="000000" w:themeColor="text1"/>
          <w:sz w:val="28"/>
          <w:szCs w:val="28"/>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"_Toc3161" </w:instrText>
      </w:r>
      <w:r>
        <w:rPr>
          <w:color w:val="000000" w:themeColor="text1"/>
          <w14:textFill>
            <w14:solidFill>
              <w14:schemeClr w14:val="tx1"/>
            </w14:solidFill>
          </w14:textFill>
        </w:rPr>
        <w:fldChar w:fldCharType="separate"/>
      </w:r>
      <w:r>
        <w:rPr>
          <w:rFonts w:hint="eastAsia" w:ascii="楷体" w:hAnsi="楷体" w:eastAsia="楷体" w:cs="楷体"/>
          <w:color w:val="000000" w:themeColor="text1"/>
          <w:sz w:val="28"/>
          <w:szCs w:val="28"/>
          <w14:textFill>
            <w14:solidFill>
              <w14:schemeClr w14:val="tx1"/>
            </w14:solidFill>
          </w14:textFill>
        </w:rPr>
        <w:t>（一）照片要求</w:t>
      </w:r>
      <w:r>
        <w:rPr>
          <w:rFonts w:ascii="楷体" w:hAnsi="楷体" w:eastAsia="楷体" w:cs="楷体"/>
          <w:color w:val="000000" w:themeColor="text1"/>
          <w:sz w:val="28"/>
          <w:szCs w:val="28"/>
          <w14:textFill>
            <w14:solidFill>
              <w14:schemeClr w14:val="tx1"/>
            </w14:solidFill>
          </w14:textFill>
        </w:rPr>
        <w:tab/>
      </w:r>
      <w:r>
        <w:rPr>
          <w:rFonts w:ascii="楷体" w:hAnsi="楷体" w:eastAsia="楷体" w:cs="楷体"/>
          <w:color w:val="000000" w:themeColor="text1"/>
          <w:sz w:val="28"/>
          <w:szCs w:val="28"/>
          <w14:textFill>
            <w14:solidFill>
              <w14:schemeClr w14:val="tx1"/>
            </w14:solidFill>
          </w14:textFill>
        </w:rPr>
        <w:fldChar w:fldCharType="begin"/>
      </w:r>
      <w:r>
        <w:rPr>
          <w:rFonts w:ascii="楷体" w:hAnsi="楷体" w:eastAsia="楷体" w:cs="楷体"/>
          <w:color w:val="000000" w:themeColor="text1"/>
          <w:sz w:val="28"/>
          <w:szCs w:val="28"/>
          <w14:textFill>
            <w14:solidFill>
              <w14:schemeClr w14:val="tx1"/>
            </w14:solidFill>
          </w14:textFill>
        </w:rPr>
        <w:instrText xml:space="preserve"> PAGEREF _Toc3161 \h </w:instrText>
      </w:r>
      <w:r>
        <w:rPr>
          <w:rFonts w:ascii="楷体" w:hAnsi="楷体" w:eastAsia="楷体" w:cs="楷体"/>
          <w:color w:val="000000" w:themeColor="text1"/>
          <w:sz w:val="28"/>
          <w:szCs w:val="28"/>
          <w14:textFill>
            <w14:solidFill>
              <w14:schemeClr w14:val="tx1"/>
            </w14:solidFill>
          </w14:textFill>
        </w:rPr>
        <w:fldChar w:fldCharType="separate"/>
      </w:r>
      <w:r>
        <w:rPr>
          <w:rFonts w:ascii="楷体" w:hAnsi="楷体" w:eastAsia="楷体" w:cs="楷体"/>
          <w:color w:val="000000" w:themeColor="text1"/>
          <w:sz w:val="28"/>
          <w:szCs w:val="28"/>
          <w14:textFill>
            <w14:solidFill>
              <w14:schemeClr w14:val="tx1"/>
            </w14:solidFill>
          </w14:textFill>
        </w:rPr>
        <w:t>2</w:t>
      </w:r>
      <w:r>
        <w:rPr>
          <w:rFonts w:ascii="楷体" w:hAnsi="楷体" w:eastAsia="楷体" w:cs="楷体"/>
          <w:color w:val="000000" w:themeColor="text1"/>
          <w:sz w:val="28"/>
          <w:szCs w:val="28"/>
          <w14:textFill>
            <w14:solidFill>
              <w14:schemeClr w14:val="tx1"/>
            </w14:solidFill>
          </w14:textFill>
        </w:rPr>
        <w:fldChar w:fldCharType="end"/>
      </w:r>
      <w:r>
        <w:rPr>
          <w:rFonts w:ascii="楷体" w:hAnsi="楷体" w:eastAsia="楷体" w:cs="楷体"/>
          <w:color w:val="000000" w:themeColor="text1"/>
          <w:sz w:val="28"/>
          <w:szCs w:val="28"/>
          <w14:textFill>
            <w14:solidFill>
              <w14:schemeClr w14:val="tx1"/>
            </w14:solidFill>
          </w14:textFill>
        </w:rPr>
        <w:fldChar w:fldCharType="end"/>
      </w:r>
    </w:p>
    <w:p>
      <w:pPr>
        <w:pStyle w:val="18"/>
        <w:tabs>
          <w:tab w:val="right" w:leader="dot" w:pos="8306"/>
        </w:tabs>
        <w:spacing w:line="420" w:lineRule="exact"/>
        <w:rPr>
          <w:rFonts w:ascii="楷体" w:hAnsi="楷体" w:eastAsia="楷体" w:cs="楷体"/>
          <w:color w:val="000000" w:themeColor="text1"/>
          <w:sz w:val="28"/>
          <w:szCs w:val="28"/>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"_Toc25424" </w:instrText>
      </w:r>
      <w:r>
        <w:rPr>
          <w:color w:val="000000" w:themeColor="text1"/>
          <w14:textFill>
            <w14:solidFill>
              <w14:schemeClr w14:val="tx1"/>
            </w14:solidFill>
          </w14:textFill>
        </w:rPr>
        <w:fldChar w:fldCharType="separate"/>
      </w:r>
      <w:r>
        <w:rPr>
          <w:rFonts w:hint="eastAsia" w:ascii="楷体" w:hAnsi="楷体" w:eastAsia="楷体" w:cs="楷体"/>
          <w:color w:val="000000" w:themeColor="text1"/>
          <w:sz w:val="28"/>
          <w:szCs w:val="28"/>
          <w14:textFill>
            <w14:solidFill>
              <w14:schemeClr w14:val="tx1"/>
            </w14:solidFill>
          </w14:textFill>
        </w:rPr>
        <w:t>（二）回避情形</w:t>
      </w:r>
      <w:r>
        <w:rPr>
          <w:rFonts w:ascii="楷体" w:hAnsi="楷体" w:eastAsia="楷体" w:cs="楷体"/>
          <w:color w:val="000000" w:themeColor="text1"/>
          <w:sz w:val="28"/>
          <w:szCs w:val="28"/>
          <w14:textFill>
            <w14:solidFill>
              <w14:schemeClr w14:val="tx1"/>
            </w14:solidFill>
          </w14:textFill>
        </w:rPr>
        <w:tab/>
      </w:r>
      <w:r>
        <w:rPr>
          <w:rFonts w:hint="eastAsia" w:ascii="楷体" w:hAnsi="楷体" w:eastAsia="楷体" w:cs="楷体"/>
          <w:color w:val="000000" w:themeColor="text1"/>
          <w:sz w:val="28"/>
          <w:szCs w:val="28"/>
          <w:lang w:val="en-US" w:eastAsia="zh-CN"/>
          <w14:textFill>
            <w14:solidFill>
              <w14:schemeClr w14:val="tx1"/>
            </w14:solidFill>
          </w14:textFill>
        </w:rPr>
        <w:t>3</w:t>
      </w:r>
      <w:r>
        <w:rPr>
          <w:rFonts w:ascii="楷体" w:hAnsi="楷体" w:eastAsia="楷体" w:cs="楷体"/>
          <w:color w:val="000000" w:themeColor="text1"/>
          <w:sz w:val="28"/>
          <w:szCs w:val="28"/>
          <w14:textFill>
            <w14:solidFill>
              <w14:schemeClr w14:val="tx1"/>
            </w14:solidFill>
          </w14:textFill>
        </w:rPr>
        <w:fldChar w:fldCharType="end"/>
      </w:r>
    </w:p>
    <w:p>
      <w:pPr>
        <w:pStyle w:val="18"/>
        <w:tabs>
          <w:tab w:val="right" w:leader="dot" w:pos="8306"/>
        </w:tabs>
        <w:spacing w:line="420" w:lineRule="exact"/>
        <w:rPr>
          <w:rFonts w:ascii="楷体" w:hAnsi="楷体" w:eastAsia="楷体" w:cs="楷体"/>
          <w:color w:val="000000" w:themeColor="text1"/>
          <w:sz w:val="28"/>
          <w:szCs w:val="28"/>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"_Toc28052" </w:instrText>
      </w:r>
      <w:r>
        <w:rPr>
          <w:color w:val="000000" w:themeColor="text1"/>
          <w14:textFill>
            <w14:solidFill>
              <w14:schemeClr w14:val="tx1"/>
            </w14:solidFill>
          </w14:textFill>
        </w:rPr>
        <w:fldChar w:fldCharType="separate"/>
      </w:r>
      <w:r>
        <w:rPr>
          <w:rFonts w:hint="eastAsia" w:ascii="楷体" w:hAnsi="楷体" w:eastAsia="楷体" w:cs="楷体"/>
          <w:color w:val="000000" w:themeColor="text1"/>
          <w:sz w:val="28"/>
          <w:szCs w:val="28"/>
          <w14:textFill>
            <w14:solidFill>
              <w14:schemeClr w14:val="tx1"/>
            </w14:solidFill>
          </w14:textFill>
        </w:rPr>
        <w:t>（三）岗位开考</w:t>
      </w:r>
      <w:r>
        <w:rPr>
          <w:rFonts w:ascii="楷体" w:hAnsi="楷体" w:eastAsia="楷体" w:cs="楷体"/>
          <w:color w:val="000000" w:themeColor="text1"/>
          <w:sz w:val="28"/>
          <w:szCs w:val="28"/>
          <w14:textFill>
            <w14:solidFill>
              <w14:schemeClr w14:val="tx1"/>
            </w14:solidFill>
          </w14:textFill>
        </w:rPr>
        <w:tab/>
      </w:r>
      <w:r>
        <w:rPr>
          <w:rFonts w:hint="eastAsia" w:ascii="楷体" w:hAnsi="楷体" w:eastAsia="楷体" w:cs="楷体"/>
          <w:color w:val="000000" w:themeColor="text1"/>
          <w:sz w:val="28"/>
          <w:szCs w:val="28"/>
          <w:lang w:val="en-US" w:eastAsia="zh-CN"/>
          <w14:textFill>
            <w14:solidFill>
              <w14:schemeClr w14:val="tx1"/>
            </w14:solidFill>
          </w14:textFill>
        </w:rPr>
        <w:t>4</w:t>
      </w:r>
      <w:r>
        <w:rPr>
          <w:rFonts w:ascii="楷体" w:hAnsi="楷体" w:eastAsia="楷体" w:cs="楷体"/>
          <w:color w:val="000000" w:themeColor="text1"/>
          <w:sz w:val="28"/>
          <w:szCs w:val="28"/>
          <w14:textFill>
            <w14:solidFill>
              <w14:schemeClr w14:val="tx1"/>
            </w14:solidFill>
          </w14:textFill>
        </w:rPr>
        <w:fldChar w:fldCharType="end"/>
      </w:r>
    </w:p>
    <w:p>
      <w:pPr>
        <w:pStyle w:val="18"/>
        <w:tabs>
          <w:tab w:val="right" w:leader="dot" w:pos="8306"/>
        </w:tabs>
        <w:spacing w:line="420" w:lineRule="exact"/>
        <w:rPr>
          <w:rFonts w:ascii="黑体" w:hAnsi="黑体" w:eastAsia="黑体" w:cs="黑体"/>
          <w:color w:val="000000" w:themeColor="text1"/>
          <w:sz w:val="28"/>
          <w:szCs w:val="28"/>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"_Toc1344" </w:instrText>
      </w:r>
      <w:r>
        <w:rPr>
          <w:color w:val="000000" w:themeColor="text1"/>
          <w14:textFill>
            <w14:solidFill>
              <w14:schemeClr w14:val="tx1"/>
            </w14:solidFill>
          </w14:textFill>
        </w:rPr>
        <w:fldChar w:fldCharType="separate"/>
      </w:r>
      <w:r>
        <w:rPr>
          <w:rFonts w:hint="eastAsia" w:ascii="黑体" w:hAnsi="黑体" w:eastAsia="黑体" w:cs="黑体"/>
          <w:color w:val="000000" w:themeColor="text1"/>
          <w:sz w:val="28"/>
          <w:szCs w:val="28"/>
          <w14:textFill>
            <w14:solidFill>
              <w14:schemeClr w14:val="tx1"/>
            </w14:solidFill>
          </w14:textFill>
        </w:rPr>
        <w:t>四、资格复核</w:t>
      </w:r>
      <w:r>
        <w:rPr>
          <w:rFonts w:ascii="黑体" w:hAnsi="黑体" w:eastAsia="黑体" w:cs="黑体"/>
          <w:color w:val="000000" w:themeColor="text1"/>
          <w:sz w:val="28"/>
          <w:szCs w:val="28"/>
          <w14:textFill>
            <w14:solidFill>
              <w14:schemeClr w14:val="tx1"/>
            </w14:solidFill>
          </w14:textFill>
        </w:rPr>
        <w:tab/>
      </w:r>
      <w:r>
        <w:rPr>
          <w:rFonts w:hint="eastAsia" w:ascii="黑体" w:hAnsi="黑体" w:eastAsia="黑体" w:cs="黑体"/>
          <w:color w:val="000000" w:themeColor="text1"/>
          <w:sz w:val="28"/>
          <w:szCs w:val="28"/>
          <w:lang w:val="en-US" w:eastAsia="zh-CN"/>
          <w14:textFill>
            <w14:solidFill>
              <w14:schemeClr w14:val="tx1"/>
            </w14:solidFill>
          </w14:textFill>
        </w:rPr>
        <w:t>4</w:t>
      </w:r>
      <w:r>
        <w:rPr>
          <w:rFonts w:ascii="黑体" w:hAnsi="黑体" w:eastAsia="黑体" w:cs="黑体"/>
          <w:color w:val="000000" w:themeColor="text1"/>
          <w:sz w:val="28"/>
          <w:szCs w:val="28"/>
          <w14:textFill>
            <w14:solidFill>
              <w14:schemeClr w14:val="tx1"/>
            </w14:solidFill>
          </w14:textFill>
        </w:rPr>
        <w:fldChar w:fldCharType="end"/>
      </w:r>
    </w:p>
    <w:p>
      <w:pPr>
        <w:pStyle w:val="18"/>
        <w:tabs>
          <w:tab w:val="right" w:leader="dot" w:pos="8306"/>
        </w:tabs>
        <w:spacing w:line="420" w:lineRule="exact"/>
        <w:rPr>
          <w:rFonts w:ascii="黑体" w:hAnsi="黑体" w:eastAsia="黑体" w:cs="黑体"/>
          <w:color w:val="000000" w:themeColor="text1"/>
          <w:sz w:val="28"/>
          <w:szCs w:val="28"/>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"_Toc12038" </w:instrText>
      </w:r>
      <w:r>
        <w:rPr>
          <w:color w:val="000000" w:themeColor="text1"/>
          <w14:textFill>
            <w14:solidFill>
              <w14:schemeClr w14:val="tx1"/>
            </w14:solidFill>
          </w14:textFill>
        </w:rPr>
        <w:fldChar w:fldCharType="separate"/>
      </w:r>
      <w:r>
        <w:rPr>
          <w:rFonts w:hint="eastAsia" w:ascii="黑体" w:hAnsi="黑体" w:eastAsia="黑体" w:cs="黑体"/>
          <w:color w:val="000000" w:themeColor="text1"/>
          <w:sz w:val="28"/>
          <w:szCs w:val="28"/>
          <w14:textFill>
            <w14:solidFill>
              <w14:schemeClr w14:val="tx1"/>
            </w14:solidFill>
          </w14:textFill>
        </w:rPr>
        <w:t>五、年龄、资格（历）等的计算办法</w:t>
      </w:r>
      <w:r>
        <w:rPr>
          <w:rFonts w:ascii="黑体" w:hAnsi="黑体" w:eastAsia="黑体" w:cs="黑体"/>
          <w:color w:val="000000" w:themeColor="text1"/>
          <w:sz w:val="28"/>
          <w:szCs w:val="28"/>
          <w14:textFill>
            <w14:solidFill>
              <w14:schemeClr w14:val="tx1"/>
            </w14:solidFill>
          </w14:textFill>
        </w:rPr>
        <w:tab/>
      </w:r>
      <w:r>
        <w:rPr>
          <w:rFonts w:hint="eastAsia" w:ascii="黑体" w:hAnsi="黑体" w:eastAsia="黑体" w:cs="黑体"/>
          <w:color w:val="000000" w:themeColor="text1"/>
          <w:sz w:val="28"/>
          <w:szCs w:val="28"/>
          <w:lang w:val="en-US" w:eastAsia="zh-CN"/>
          <w14:textFill>
            <w14:solidFill>
              <w14:schemeClr w14:val="tx1"/>
            </w14:solidFill>
          </w14:textFill>
        </w:rPr>
        <w:t>5</w:t>
      </w:r>
      <w:r>
        <w:rPr>
          <w:rFonts w:ascii="黑体" w:hAnsi="黑体" w:eastAsia="黑体" w:cs="黑体"/>
          <w:color w:val="000000" w:themeColor="text1"/>
          <w:sz w:val="28"/>
          <w:szCs w:val="28"/>
          <w14:textFill>
            <w14:solidFill>
              <w14:schemeClr w14:val="tx1"/>
            </w14:solidFill>
          </w14:textFill>
        </w:rPr>
        <w:fldChar w:fldCharType="end"/>
      </w:r>
    </w:p>
    <w:p>
      <w:pPr>
        <w:pStyle w:val="18"/>
        <w:tabs>
          <w:tab w:val="right" w:leader="dot" w:pos="8306"/>
        </w:tabs>
        <w:spacing w:line="420" w:lineRule="exact"/>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u w:val="none"/>
          <w14:textFill>
            <w14:solidFill>
              <w14:schemeClr w14:val="tx1"/>
            </w14:solidFill>
          </w14:textFill>
        </w:rPr>
        <w:fldChar w:fldCharType="begin"/>
      </w:r>
      <w:r>
        <w:rPr>
          <w:rFonts w:hint="eastAsia" w:ascii="黑体" w:hAnsi="黑体" w:eastAsia="黑体" w:cs="黑体"/>
          <w:color w:val="000000" w:themeColor="text1"/>
          <w:sz w:val="28"/>
          <w:szCs w:val="28"/>
          <w:u w:val="none"/>
          <w14:textFill>
            <w14:solidFill>
              <w14:schemeClr w14:val="tx1"/>
            </w14:solidFill>
          </w14:textFill>
        </w:rPr>
        <w:instrText xml:space="preserve"> HYPERLINK \l "_六、学历（位）认定" </w:instrText>
      </w:r>
      <w:r>
        <w:rPr>
          <w:rFonts w:hint="eastAsia" w:ascii="黑体" w:hAnsi="黑体" w:eastAsia="黑体" w:cs="黑体"/>
          <w:color w:val="000000" w:themeColor="text1"/>
          <w:sz w:val="28"/>
          <w:szCs w:val="28"/>
          <w:u w:val="none"/>
          <w14:textFill>
            <w14:solidFill>
              <w14:schemeClr w14:val="tx1"/>
            </w14:solidFill>
          </w14:textFill>
        </w:rPr>
        <w:fldChar w:fldCharType="separate"/>
      </w:r>
      <w:r>
        <w:rPr>
          <w:rStyle w:val="11"/>
          <w:rFonts w:hint="eastAsia" w:ascii="黑体" w:hAnsi="黑体" w:eastAsia="黑体" w:cs="黑体"/>
          <w:color w:val="000000" w:themeColor="text1"/>
          <w:sz w:val="28"/>
          <w:szCs w:val="28"/>
          <w14:textFill>
            <w14:solidFill>
              <w14:schemeClr w14:val="tx1"/>
            </w14:solidFill>
          </w14:textFill>
        </w:rPr>
        <w:t>六、学历（位）认定</w:t>
      </w:r>
      <w:r>
        <w:rPr>
          <w:rStyle w:val="11"/>
          <w:rFonts w:ascii="黑体" w:hAnsi="黑体" w:eastAsia="黑体" w:cs="黑体"/>
          <w:color w:val="000000" w:themeColor="text1"/>
          <w:sz w:val="28"/>
          <w:szCs w:val="28"/>
          <w14:textFill>
            <w14:solidFill>
              <w14:schemeClr w14:val="tx1"/>
            </w14:solidFill>
          </w14:textFill>
        </w:rPr>
        <w:tab/>
      </w:r>
      <w:r>
        <w:rPr>
          <w:rStyle w:val="11"/>
          <w:rFonts w:hint="eastAsia" w:ascii="黑体" w:hAnsi="黑体" w:eastAsia="黑体" w:cs="黑体"/>
          <w:color w:val="000000" w:themeColor="text1"/>
          <w:sz w:val="28"/>
          <w:szCs w:val="28"/>
          <w:lang w:val="en-US" w:eastAsia="zh-CN"/>
          <w14:textFill>
            <w14:solidFill>
              <w14:schemeClr w14:val="tx1"/>
            </w14:solidFill>
          </w14:textFill>
        </w:rPr>
        <w:t>6</w:t>
      </w:r>
      <w:r>
        <w:rPr>
          <w:rFonts w:hint="eastAsia" w:ascii="黑体" w:hAnsi="黑体" w:eastAsia="黑体" w:cs="黑体"/>
          <w:color w:val="000000" w:themeColor="text1"/>
          <w:sz w:val="28"/>
          <w:szCs w:val="28"/>
          <w:u w:val="none"/>
          <w14:textFill>
            <w14:solidFill>
              <w14:schemeClr w14:val="tx1"/>
            </w14:solidFill>
          </w14:textFill>
        </w:rPr>
        <w:fldChar w:fldCharType="end"/>
      </w:r>
    </w:p>
    <w:p>
      <w:pPr>
        <w:pStyle w:val="18"/>
        <w:tabs>
          <w:tab w:val="right" w:leader="dot" w:pos="8306"/>
        </w:tabs>
        <w:spacing w:line="420" w:lineRule="exact"/>
        <w:rPr>
          <w:rFonts w:ascii="楷体" w:hAnsi="楷体" w:eastAsia="楷体" w:cs="楷体"/>
          <w:color w:val="000000" w:themeColor="text1"/>
          <w:sz w:val="28"/>
          <w:szCs w:val="28"/>
          <w14:textFill>
            <w14:solidFill>
              <w14:schemeClr w14:val="tx1"/>
            </w14:solidFill>
          </w14:textFill>
        </w:rPr>
      </w:pPr>
      <w:r>
        <w:rPr>
          <w:rFonts w:hint="eastAsia" w:ascii="楷体" w:hAnsi="楷体" w:eastAsia="楷体" w:cs="楷体"/>
          <w:color w:val="000000" w:themeColor="text1"/>
          <w:sz w:val="28"/>
          <w:szCs w:val="28"/>
          <w:u w:val="none"/>
          <w14:textFill>
            <w14:solidFill>
              <w14:schemeClr w14:val="tx1"/>
            </w14:solidFill>
          </w14:textFill>
        </w:rPr>
        <w:fldChar w:fldCharType="begin"/>
      </w:r>
      <w:r>
        <w:rPr>
          <w:rFonts w:hint="eastAsia" w:ascii="楷体" w:hAnsi="楷体" w:eastAsia="楷体" w:cs="楷体"/>
          <w:color w:val="000000" w:themeColor="text1"/>
          <w:sz w:val="28"/>
          <w:szCs w:val="28"/>
          <w:u w:val="none"/>
          <w14:textFill>
            <w14:solidFill>
              <w14:schemeClr w14:val="tx1"/>
            </w14:solidFill>
          </w14:textFill>
        </w:rPr>
        <w:instrText xml:space="preserve"> HYPERLINK \l "_（一）境内学历（位）" </w:instrText>
      </w:r>
      <w:r>
        <w:rPr>
          <w:rFonts w:hint="eastAsia" w:ascii="楷体" w:hAnsi="楷体" w:eastAsia="楷体" w:cs="楷体"/>
          <w:color w:val="000000" w:themeColor="text1"/>
          <w:sz w:val="28"/>
          <w:szCs w:val="28"/>
          <w:u w:val="none"/>
          <w14:textFill>
            <w14:solidFill>
              <w14:schemeClr w14:val="tx1"/>
            </w14:solidFill>
          </w14:textFill>
        </w:rPr>
        <w:fldChar w:fldCharType="separate"/>
      </w:r>
      <w:r>
        <w:rPr>
          <w:rStyle w:val="11"/>
          <w:rFonts w:hint="eastAsia" w:ascii="楷体" w:hAnsi="楷体" w:eastAsia="楷体" w:cs="楷体"/>
          <w:color w:val="000000" w:themeColor="text1"/>
          <w:sz w:val="28"/>
          <w:szCs w:val="28"/>
          <w14:textFill>
            <w14:solidFill>
              <w14:schemeClr w14:val="tx1"/>
            </w14:solidFill>
          </w14:textFill>
        </w:rPr>
        <w:t>（一）境内学历（位）</w:t>
      </w:r>
      <w:r>
        <w:rPr>
          <w:rStyle w:val="11"/>
          <w:rFonts w:ascii="楷体" w:hAnsi="楷体" w:eastAsia="楷体" w:cs="楷体"/>
          <w:color w:val="000000" w:themeColor="text1"/>
          <w:sz w:val="28"/>
          <w:szCs w:val="28"/>
          <w14:textFill>
            <w14:solidFill>
              <w14:schemeClr w14:val="tx1"/>
            </w14:solidFill>
          </w14:textFill>
        </w:rPr>
        <w:tab/>
      </w:r>
      <w:r>
        <w:rPr>
          <w:rStyle w:val="11"/>
          <w:rFonts w:hint="eastAsia" w:ascii="楷体" w:hAnsi="楷体" w:eastAsia="楷体" w:cs="楷体"/>
          <w:color w:val="000000" w:themeColor="text1"/>
          <w:sz w:val="28"/>
          <w:szCs w:val="28"/>
          <w:lang w:val="en-US" w:eastAsia="zh-CN"/>
          <w14:textFill>
            <w14:solidFill>
              <w14:schemeClr w14:val="tx1"/>
            </w14:solidFill>
          </w14:textFill>
        </w:rPr>
        <w:t>6</w:t>
      </w:r>
      <w:r>
        <w:rPr>
          <w:rFonts w:hint="eastAsia" w:ascii="楷体" w:hAnsi="楷体" w:eastAsia="楷体" w:cs="楷体"/>
          <w:color w:val="000000" w:themeColor="text1"/>
          <w:sz w:val="28"/>
          <w:szCs w:val="28"/>
          <w:u w:val="none"/>
          <w14:textFill>
            <w14:solidFill>
              <w14:schemeClr w14:val="tx1"/>
            </w14:solidFill>
          </w14:textFill>
        </w:rPr>
        <w:fldChar w:fldCharType="end"/>
      </w:r>
    </w:p>
    <w:p>
      <w:pPr>
        <w:pStyle w:val="18"/>
        <w:tabs>
          <w:tab w:val="right" w:leader="dot" w:pos="8306"/>
        </w:tabs>
        <w:spacing w:line="420" w:lineRule="exact"/>
        <w:rPr>
          <w:rFonts w:ascii="楷体" w:hAnsi="楷体" w:eastAsia="楷体" w:cs="楷体"/>
          <w:color w:val="000000" w:themeColor="text1"/>
          <w:sz w:val="28"/>
          <w:szCs w:val="28"/>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"_Toc2494" </w:instrText>
      </w:r>
      <w:r>
        <w:rPr>
          <w:color w:val="000000" w:themeColor="text1"/>
          <w14:textFill>
            <w14:solidFill>
              <w14:schemeClr w14:val="tx1"/>
            </w14:solidFill>
          </w14:textFill>
        </w:rPr>
        <w:fldChar w:fldCharType="separate"/>
      </w:r>
      <w:r>
        <w:rPr>
          <w:rFonts w:hint="eastAsia" w:ascii="楷体" w:hAnsi="楷体" w:eastAsia="楷体" w:cs="楷体"/>
          <w:color w:val="000000" w:themeColor="text1"/>
          <w:sz w:val="28"/>
          <w:szCs w:val="28"/>
          <w14:textFill>
            <w14:solidFill>
              <w14:schemeClr w14:val="tx1"/>
            </w14:solidFill>
          </w14:textFill>
        </w:rPr>
        <w:t>（二）境外学历（位）</w:t>
      </w:r>
      <w:r>
        <w:rPr>
          <w:rFonts w:ascii="楷体" w:hAnsi="楷体" w:eastAsia="楷体" w:cs="楷体"/>
          <w:color w:val="000000" w:themeColor="text1"/>
          <w:sz w:val="28"/>
          <w:szCs w:val="28"/>
          <w14:textFill>
            <w14:solidFill>
              <w14:schemeClr w14:val="tx1"/>
            </w14:solidFill>
          </w14:textFill>
        </w:rPr>
        <w:tab/>
      </w:r>
      <w:r>
        <w:rPr>
          <w:rFonts w:hint="eastAsia" w:ascii="楷体" w:hAnsi="楷体" w:eastAsia="楷体" w:cs="楷体"/>
          <w:color w:val="000000" w:themeColor="text1"/>
          <w:sz w:val="28"/>
          <w:szCs w:val="28"/>
          <w:lang w:val="en-US" w:eastAsia="zh-CN"/>
          <w14:textFill>
            <w14:solidFill>
              <w14:schemeClr w14:val="tx1"/>
            </w14:solidFill>
          </w14:textFill>
        </w:rPr>
        <w:t>7</w:t>
      </w:r>
      <w:r>
        <w:rPr>
          <w:rFonts w:ascii="楷体" w:hAnsi="楷体" w:eastAsia="楷体" w:cs="楷体"/>
          <w:color w:val="000000" w:themeColor="text1"/>
          <w:sz w:val="28"/>
          <w:szCs w:val="28"/>
          <w14:textFill>
            <w14:solidFill>
              <w14:schemeClr w14:val="tx1"/>
            </w14:solidFill>
          </w14:textFill>
        </w:rPr>
        <w:fldChar w:fldCharType="end"/>
      </w:r>
    </w:p>
    <w:p>
      <w:pPr>
        <w:pStyle w:val="18"/>
        <w:tabs>
          <w:tab w:val="right" w:leader="dot" w:pos="8306"/>
        </w:tabs>
        <w:spacing w:line="420" w:lineRule="exact"/>
        <w:rPr>
          <w:rFonts w:ascii="楷体" w:hAnsi="楷体" w:eastAsia="楷体" w:cs="楷体"/>
          <w:color w:val="000000" w:themeColor="text1"/>
          <w:sz w:val="28"/>
          <w:szCs w:val="28"/>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"_Toc23613" </w:instrText>
      </w:r>
      <w:r>
        <w:rPr>
          <w:color w:val="000000" w:themeColor="text1"/>
          <w14:textFill>
            <w14:solidFill>
              <w14:schemeClr w14:val="tx1"/>
            </w14:solidFill>
          </w14:textFill>
        </w:rPr>
        <w:fldChar w:fldCharType="separate"/>
      </w:r>
      <w:r>
        <w:rPr>
          <w:rFonts w:hint="eastAsia" w:ascii="楷体" w:hAnsi="楷体" w:eastAsia="楷体" w:cs="楷体"/>
          <w:color w:val="000000" w:themeColor="text1"/>
          <w:sz w:val="28"/>
          <w:szCs w:val="28"/>
          <w14:textFill>
            <w14:solidFill>
              <w14:schemeClr w14:val="tx1"/>
            </w14:solidFill>
          </w14:textFill>
        </w:rPr>
        <w:t>（三）福建省“双学位”“双专业”教育</w:t>
      </w:r>
      <w:r>
        <w:rPr>
          <w:rFonts w:ascii="楷体" w:hAnsi="楷体" w:eastAsia="楷体" w:cs="楷体"/>
          <w:color w:val="000000" w:themeColor="text1"/>
          <w:sz w:val="28"/>
          <w:szCs w:val="28"/>
          <w14:textFill>
            <w14:solidFill>
              <w14:schemeClr w14:val="tx1"/>
            </w14:solidFill>
          </w14:textFill>
        </w:rPr>
        <w:tab/>
      </w:r>
      <w:r>
        <w:rPr>
          <w:rFonts w:hint="eastAsia" w:ascii="楷体" w:hAnsi="楷体" w:eastAsia="楷体" w:cs="楷体"/>
          <w:color w:val="000000" w:themeColor="text1"/>
          <w:sz w:val="28"/>
          <w:szCs w:val="28"/>
          <w:lang w:val="en-US" w:eastAsia="zh-CN"/>
          <w14:textFill>
            <w14:solidFill>
              <w14:schemeClr w14:val="tx1"/>
            </w14:solidFill>
          </w14:textFill>
        </w:rPr>
        <w:t>7</w:t>
      </w:r>
      <w:r>
        <w:rPr>
          <w:rFonts w:ascii="楷体" w:hAnsi="楷体" w:eastAsia="楷体" w:cs="楷体"/>
          <w:color w:val="000000" w:themeColor="text1"/>
          <w:sz w:val="28"/>
          <w:szCs w:val="28"/>
          <w14:textFill>
            <w14:solidFill>
              <w14:schemeClr w14:val="tx1"/>
            </w14:solidFill>
          </w14:textFill>
        </w:rPr>
        <w:fldChar w:fldCharType="end"/>
      </w:r>
    </w:p>
    <w:p>
      <w:pPr>
        <w:pStyle w:val="18"/>
        <w:tabs>
          <w:tab w:val="right" w:leader="dot" w:pos="8306"/>
        </w:tabs>
        <w:spacing w:line="420" w:lineRule="exact"/>
        <w:rPr>
          <w:rFonts w:ascii="黑体" w:hAnsi="黑体" w:eastAsia="黑体" w:cs="黑体"/>
          <w:color w:val="000000" w:themeColor="text1"/>
          <w:sz w:val="28"/>
          <w:szCs w:val="28"/>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"_Toc8728" </w:instrText>
      </w:r>
      <w:r>
        <w:rPr>
          <w:color w:val="000000" w:themeColor="text1"/>
          <w14:textFill>
            <w14:solidFill>
              <w14:schemeClr w14:val="tx1"/>
            </w14:solidFill>
          </w14:textFill>
        </w:rPr>
        <w:fldChar w:fldCharType="separate"/>
      </w:r>
      <w:r>
        <w:rPr>
          <w:rFonts w:hint="eastAsia" w:ascii="楷体" w:hAnsi="楷体" w:eastAsia="楷体" w:cs="楷体"/>
          <w:color w:val="000000" w:themeColor="text1"/>
          <w:sz w:val="28"/>
          <w:szCs w:val="28"/>
          <w14:textFill>
            <w14:solidFill>
              <w14:schemeClr w14:val="tx1"/>
            </w14:solidFill>
          </w14:textFill>
        </w:rPr>
        <w:t>（四）提醒事项</w:t>
      </w:r>
      <w:r>
        <w:rPr>
          <w:rFonts w:ascii="楷体" w:hAnsi="楷体" w:eastAsia="楷体" w:cs="楷体"/>
          <w:color w:val="000000" w:themeColor="text1"/>
          <w:sz w:val="28"/>
          <w:szCs w:val="28"/>
          <w14:textFill>
            <w14:solidFill>
              <w14:schemeClr w14:val="tx1"/>
            </w14:solidFill>
          </w14:textFill>
        </w:rPr>
        <w:tab/>
      </w:r>
      <w:r>
        <w:rPr>
          <w:rFonts w:hint="eastAsia" w:ascii="楷体" w:hAnsi="楷体" w:eastAsia="楷体" w:cs="楷体"/>
          <w:color w:val="000000" w:themeColor="text1"/>
          <w:sz w:val="28"/>
          <w:szCs w:val="28"/>
          <w:lang w:val="en-US" w:eastAsia="zh-CN"/>
          <w14:textFill>
            <w14:solidFill>
              <w14:schemeClr w14:val="tx1"/>
            </w14:solidFill>
          </w14:textFill>
        </w:rPr>
        <w:t>7</w:t>
      </w:r>
      <w:r>
        <w:rPr>
          <w:rFonts w:ascii="楷体" w:hAnsi="楷体" w:eastAsia="楷体" w:cs="楷体"/>
          <w:color w:val="000000" w:themeColor="text1"/>
          <w:sz w:val="28"/>
          <w:szCs w:val="28"/>
          <w14:textFill>
            <w14:solidFill>
              <w14:schemeClr w14:val="tx1"/>
            </w14:solidFill>
          </w14:textFill>
        </w:rPr>
        <w:fldChar w:fldCharType="end"/>
      </w:r>
    </w:p>
    <w:p>
      <w:pPr>
        <w:pStyle w:val="18"/>
        <w:tabs>
          <w:tab w:val="right" w:leader="dot" w:pos="8306"/>
        </w:tabs>
        <w:spacing w:line="420" w:lineRule="exact"/>
        <w:rPr>
          <w:rFonts w:ascii="黑体" w:hAnsi="黑体" w:eastAsia="黑体" w:cs="黑体"/>
          <w:color w:val="000000" w:themeColor="text1"/>
          <w:sz w:val="28"/>
          <w:szCs w:val="28"/>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"_Toc12784" </w:instrText>
      </w:r>
      <w:r>
        <w:rPr>
          <w:color w:val="000000" w:themeColor="text1"/>
          <w14:textFill>
            <w14:solidFill>
              <w14:schemeClr w14:val="tx1"/>
            </w14:solidFill>
          </w14:textFill>
        </w:rPr>
        <w:fldChar w:fldCharType="separate"/>
      </w:r>
      <w:r>
        <w:rPr>
          <w:rFonts w:hint="eastAsia" w:ascii="黑体" w:hAnsi="黑体" w:eastAsia="黑体" w:cs="黑体"/>
          <w:color w:val="000000" w:themeColor="text1"/>
          <w:sz w:val="28"/>
          <w:szCs w:val="28"/>
          <w14:textFill>
            <w14:solidFill>
              <w14:schemeClr w14:val="tx1"/>
            </w14:solidFill>
          </w14:textFill>
        </w:rPr>
        <w:t>七、专业认定</w:t>
      </w:r>
      <w:r>
        <w:rPr>
          <w:rFonts w:ascii="黑体" w:hAnsi="黑体" w:eastAsia="黑体" w:cs="黑体"/>
          <w:color w:val="000000" w:themeColor="text1"/>
          <w:sz w:val="28"/>
          <w:szCs w:val="28"/>
          <w14:textFill>
            <w14:solidFill>
              <w14:schemeClr w14:val="tx1"/>
            </w14:solidFill>
          </w14:textFill>
        </w:rPr>
        <w:tab/>
      </w:r>
      <w:r>
        <w:rPr>
          <w:rFonts w:hint="eastAsia" w:ascii="黑体" w:hAnsi="黑体" w:eastAsia="黑体" w:cs="黑体"/>
          <w:color w:val="000000" w:themeColor="text1"/>
          <w:sz w:val="28"/>
          <w:szCs w:val="28"/>
          <w:lang w:val="en-US" w:eastAsia="zh-CN"/>
          <w14:textFill>
            <w14:solidFill>
              <w14:schemeClr w14:val="tx1"/>
            </w14:solidFill>
          </w14:textFill>
        </w:rPr>
        <w:t>8</w:t>
      </w:r>
      <w:r>
        <w:rPr>
          <w:rFonts w:ascii="黑体" w:hAnsi="黑体" w:eastAsia="黑体" w:cs="黑体"/>
          <w:color w:val="000000" w:themeColor="text1"/>
          <w:sz w:val="28"/>
          <w:szCs w:val="28"/>
          <w14:textFill>
            <w14:solidFill>
              <w14:schemeClr w14:val="tx1"/>
            </w14:solidFill>
          </w14:textFill>
        </w:rPr>
        <w:fldChar w:fldCharType="end"/>
      </w:r>
    </w:p>
    <w:p>
      <w:pPr>
        <w:pStyle w:val="18"/>
        <w:tabs>
          <w:tab w:val="right" w:leader="dot" w:pos="8306"/>
        </w:tabs>
        <w:spacing w:line="420" w:lineRule="exact"/>
        <w:rPr>
          <w:rFonts w:ascii="楷体" w:hAnsi="楷体" w:eastAsia="楷体" w:cs="楷体"/>
          <w:color w:val="000000" w:themeColor="text1"/>
          <w:sz w:val="28"/>
          <w:szCs w:val="28"/>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"_Toc20957" </w:instrText>
      </w:r>
      <w:r>
        <w:rPr>
          <w:color w:val="000000" w:themeColor="text1"/>
          <w14:textFill>
            <w14:solidFill>
              <w14:schemeClr w14:val="tx1"/>
            </w14:solidFill>
          </w14:textFill>
        </w:rPr>
        <w:fldChar w:fldCharType="separate"/>
      </w:r>
      <w:r>
        <w:rPr>
          <w:rFonts w:hint="eastAsia" w:ascii="楷体" w:hAnsi="楷体" w:eastAsia="楷体" w:cs="楷体"/>
          <w:color w:val="000000" w:themeColor="text1"/>
          <w:sz w:val="28"/>
          <w:szCs w:val="28"/>
          <w14:textFill>
            <w14:solidFill>
              <w14:schemeClr w14:val="tx1"/>
            </w14:solidFill>
          </w14:textFill>
        </w:rPr>
        <w:t>（一）填报专业名称</w:t>
      </w:r>
      <w:r>
        <w:rPr>
          <w:rFonts w:ascii="楷体" w:hAnsi="楷体" w:eastAsia="楷体" w:cs="楷体"/>
          <w:color w:val="000000" w:themeColor="text1"/>
          <w:sz w:val="28"/>
          <w:szCs w:val="28"/>
          <w14:textFill>
            <w14:solidFill>
              <w14:schemeClr w14:val="tx1"/>
            </w14:solidFill>
          </w14:textFill>
        </w:rPr>
        <w:tab/>
      </w:r>
      <w:r>
        <w:rPr>
          <w:rFonts w:hint="eastAsia" w:ascii="楷体" w:hAnsi="楷体" w:eastAsia="楷体" w:cs="楷体"/>
          <w:color w:val="000000" w:themeColor="text1"/>
          <w:sz w:val="28"/>
          <w:szCs w:val="28"/>
          <w:lang w:val="en-US" w:eastAsia="zh-CN"/>
          <w14:textFill>
            <w14:solidFill>
              <w14:schemeClr w14:val="tx1"/>
            </w14:solidFill>
          </w14:textFill>
        </w:rPr>
        <w:t>8</w:t>
      </w:r>
      <w:r>
        <w:rPr>
          <w:rFonts w:ascii="楷体" w:hAnsi="楷体" w:eastAsia="楷体" w:cs="楷体"/>
          <w:color w:val="000000" w:themeColor="text1"/>
          <w:sz w:val="28"/>
          <w:szCs w:val="28"/>
          <w14:textFill>
            <w14:solidFill>
              <w14:schemeClr w14:val="tx1"/>
            </w14:solidFill>
          </w14:textFill>
        </w:rPr>
        <w:fldChar w:fldCharType="end"/>
      </w:r>
    </w:p>
    <w:p>
      <w:pPr>
        <w:pStyle w:val="18"/>
        <w:tabs>
          <w:tab w:val="right" w:leader="dot" w:pos="8306"/>
        </w:tabs>
        <w:spacing w:line="420" w:lineRule="exact"/>
        <w:rPr>
          <w:rFonts w:ascii="楷体" w:hAnsi="楷体" w:eastAsia="楷体" w:cs="楷体"/>
          <w:color w:val="000000" w:themeColor="text1"/>
          <w:sz w:val="28"/>
          <w:szCs w:val="28"/>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"_Toc26794" </w:instrText>
      </w:r>
      <w:r>
        <w:rPr>
          <w:color w:val="000000" w:themeColor="text1"/>
          <w14:textFill>
            <w14:solidFill>
              <w14:schemeClr w14:val="tx1"/>
            </w14:solidFill>
          </w14:textFill>
        </w:rPr>
        <w:fldChar w:fldCharType="separate"/>
      </w:r>
      <w:r>
        <w:rPr>
          <w:rFonts w:hint="eastAsia" w:ascii="楷体" w:hAnsi="楷体" w:eastAsia="楷体" w:cs="楷体"/>
          <w:color w:val="000000" w:themeColor="text1"/>
          <w:sz w:val="28"/>
          <w:szCs w:val="28"/>
          <w14:textFill>
            <w14:solidFill>
              <w14:schemeClr w14:val="tx1"/>
            </w14:solidFill>
          </w14:textFill>
        </w:rPr>
        <w:t>（二）专业与学历（位）的对应关系</w:t>
      </w:r>
      <w:r>
        <w:rPr>
          <w:rFonts w:ascii="楷体" w:hAnsi="楷体" w:eastAsia="楷体" w:cs="楷体"/>
          <w:color w:val="000000" w:themeColor="text1"/>
          <w:sz w:val="28"/>
          <w:szCs w:val="28"/>
          <w14:textFill>
            <w14:solidFill>
              <w14:schemeClr w14:val="tx1"/>
            </w14:solidFill>
          </w14:textFill>
        </w:rPr>
        <w:tab/>
      </w:r>
      <w:r>
        <w:rPr>
          <w:rFonts w:hint="eastAsia" w:ascii="楷体" w:hAnsi="楷体" w:eastAsia="楷体" w:cs="楷体"/>
          <w:color w:val="000000" w:themeColor="text1"/>
          <w:sz w:val="28"/>
          <w:szCs w:val="28"/>
          <w:lang w:val="en-US" w:eastAsia="zh-CN"/>
          <w14:textFill>
            <w14:solidFill>
              <w14:schemeClr w14:val="tx1"/>
            </w14:solidFill>
          </w14:textFill>
        </w:rPr>
        <w:t>8</w:t>
      </w:r>
      <w:r>
        <w:rPr>
          <w:rFonts w:ascii="楷体" w:hAnsi="楷体" w:eastAsia="楷体" w:cs="楷体"/>
          <w:color w:val="000000" w:themeColor="text1"/>
          <w:sz w:val="28"/>
          <w:szCs w:val="28"/>
          <w14:textFill>
            <w14:solidFill>
              <w14:schemeClr w14:val="tx1"/>
            </w14:solidFill>
          </w14:textFill>
        </w:rPr>
        <w:fldChar w:fldCharType="end"/>
      </w:r>
    </w:p>
    <w:p>
      <w:pPr>
        <w:pStyle w:val="18"/>
        <w:tabs>
          <w:tab w:val="right" w:leader="dot" w:pos="8306"/>
        </w:tabs>
        <w:spacing w:line="420" w:lineRule="exact"/>
        <w:rPr>
          <w:rFonts w:ascii="黑体" w:hAnsi="黑体" w:eastAsia="黑体" w:cs="黑体"/>
          <w:color w:val="000000" w:themeColor="text1"/>
          <w:sz w:val="28"/>
          <w:szCs w:val="28"/>
          <w14:textFill>
            <w14:solidFill>
              <w14:schemeClr w14:val="tx1"/>
            </w14:solidFill>
          </w14:textFill>
        </w:rPr>
      </w:pPr>
      <w:r>
        <w:rPr>
          <w:rFonts w:hint="eastAsia" w:ascii="楷体" w:hAnsi="楷体" w:eastAsia="楷体" w:cs="楷体"/>
          <w:color w:val="000000" w:themeColor="text1"/>
          <w:sz w:val="28"/>
          <w:szCs w:val="28"/>
          <w:u w:val="none"/>
          <w14:textFill>
            <w14:solidFill>
              <w14:schemeClr w14:val="tx1"/>
            </w14:solidFill>
          </w14:textFill>
        </w:rPr>
        <w:fldChar w:fldCharType="begin"/>
      </w:r>
      <w:r>
        <w:rPr>
          <w:rFonts w:hint="eastAsia" w:ascii="楷体" w:hAnsi="楷体" w:eastAsia="楷体" w:cs="楷体"/>
          <w:color w:val="000000" w:themeColor="text1"/>
          <w:sz w:val="28"/>
          <w:szCs w:val="28"/>
          <w:u w:val="none"/>
          <w14:textFill>
            <w14:solidFill>
              <w14:schemeClr w14:val="tx1"/>
            </w14:solidFill>
          </w14:textFill>
        </w:rPr>
        <w:instrText xml:space="preserve"> HYPERLINK \l "_（三）专业资格的认定" </w:instrText>
      </w:r>
      <w:r>
        <w:rPr>
          <w:rFonts w:hint="eastAsia" w:ascii="楷体" w:hAnsi="楷体" w:eastAsia="楷体" w:cs="楷体"/>
          <w:color w:val="000000" w:themeColor="text1"/>
          <w:sz w:val="28"/>
          <w:szCs w:val="28"/>
          <w:u w:val="none"/>
          <w14:textFill>
            <w14:solidFill>
              <w14:schemeClr w14:val="tx1"/>
            </w14:solidFill>
          </w14:textFill>
        </w:rPr>
        <w:fldChar w:fldCharType="separate"/>
      </w:r>
      <w:r>
        <w:rPr>
          <w:rStyle w:val="11"/>
          <w:rFonts w:hint="eastAsia" w:ascii="楷体" w:hAnsi="楷体" w:eastAsia="楷体" w:cs="楷体"/>
          <w:color w:val="000000" w:themeColor="text1"/>
          <w:sz w:val="28"/>
          <w:szCs w:val="28"/>
          <w14:textFill>
            <w14:solidFill>
              <w14:schemeClr w14:val="tx1"/>
            </w14:solidFill>
          </w14:textFill>
        </w:rPr>
        <w:t>（三）专业资格的认定</w:t>
      </w:r>
      <w:r>
        <w:rPr>
          <w:rStyle w:val="11"/>
          <w:rFonts w:ascii="楷体" w:hAnsi="楷体" w:eastAsia="楷体" w:cs="楷体"/>
          <w:color w:val="000000" w:themeColor="text1"/>
          <w:sz w:val="28"/>
          <w:szCs w:val="28"/>
          <w14:textFill>
            <w14:solidFill>
              <w14:schemeClr w14:val="tx1"/>
            </w14:solidFill>
          </w14:textFill>
        </w:rPr>
        <w:tab/>
      </w:r>
      <w:r>
        <w:rPr>
          <w:rStyle w:val="11"/>
          <w:rFonts w:hint="eastAsia" w:ascii="楷体" w:hAnsi="楷体" w:eastAsia="楷体" w:cs="楷体"/>
          <w:color w:val="000000" w:themeColor="text1"/>
          <w:sz w:val="28"/>
          <w:szCs w:val="28"/>
          <w:lang w:val="en-US" w:eastAsia="zh-CN"/>
          <w14:textFill>
            <w14:solidFill>
              <w14:schemeClr w14:val="tx1"/>
            </w14:solidFill>
          </w14:textFill>
        </w:rPr>
        <w:t>9</w:t>
      </w:r>
      <w:r>
        <w:rPr>
          <w:rFonts w:hint="eastAsia" w:ascii="楷体" w:hAnsi="楷体" w:eastAsia="楷体" w:cs="楷体"/>
          <w:color w:val="000000" w:themeColor="text1"/>
          <w:sz w:val="28"/>
          <w:szCs w:val="28"/>
          <w:u w:val="none"/>
          <w14:textFill>
            <w14:solidFill>
              <w14:schemeClr w14:val="tx1"/>
            </w14:solidFill>
          </w14:textFill>
        </w:rPr>
        <w:fldChar w:fldCharType="end"/>
      </w:r>
    </w:p>
    <w:p>
      <w:pPr>
        <w:pStyle w:val="18"/>
        <w:tabs>
          <w:tab w:val="right" w:leader="dot" w:pos="8306"/>
        </w:tabs>
        <w:spacing w:line="420" w:lineRule="exact"/>
        <w:rPr>
          <w:rFonts w:ascii="黑体" w:hAnsi="黑体" w:eastAsia="黑体" w:cs="黑体"/>
          <w:color w:val="000000" w:themeColor="text1"/>
          <w:sz w:val="28"/>
          <w:szCs w:val="28"/>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"_Toc6797" </w:instrText>
      </w:r>
      <w:r>
        <w:rPr>
          <w:color w:val="000000" w:themeColor="text1"/>
          <w14:textFill>
            <w14:solidFill>
              <w14:schemeClr w14:val="tx1"/>
            </w14:solidFill>
          </w14:textFill>
        </w:rPr>
        <w:fldChar w:fldCharType="separate"/>
      </w:r>
      <w:r>
        <w:rPr>
          <w:rFonts w:hint="eastAsia" w:ascii="黑体" w:hAnsi="黑体" w:eastAsia="黑体" w:cs="黑体"/>
          <w:color w:val="000000" w:themeColor="text1"/>
          <w:sz w:val="28"/>
          <w:szCs w:val="28"/>
          <w14:textFill>
            <w14:solidFill>
              <w14:schemeClr w14:val="tx1"/>
            </w14:solidFill>
          </w14:textFill>
        </w:rPr>
        <w:t>八、工作经验认定</w:t>
      </w:r>
      <w:r>
        <w:rPr>
          <w:rFonts w:ascii="黑体" w:hAnsi="黑体" w:eastAsia="黑体" w:cs="黑体"/>
          <w:color w:val="000000" w:themeColor="text1"/>
          <w:sz w:val="28"/>
          <w:szCs w:val="28"/>
          <w14:textFill>
            <w14:solidFill>
              <w14:schemeClr w14:val="tx1"/>
            </w14:solidFill>
          </w14:textFill>
        </w:rPr>
        <w:tab/>
      </w:r>
      <w:r>
        <w:rPr>
          <w:rFonts w:hint="eastAsia" w:ascii="黑体" w:hAnsi="黑体" w:eastAsia="黑体" w:cs="黑体"/>
          <w:color w:val="000000" w:themeColor="text1"/>
          <w:sz w:val="28"/>
          <w:szCs w:val="28"/>
          <w:lang w:val="en-US" w:eastAsia="zh-CN"/>
          <w14:textFill>
            <w14:solidFill>
              <w14:schemeClr w14:val="tx1"/>
            </w14:solidFill>
          </w14:textFill>
        </w:rPr>
        <w:t>9</w:t>
      </w:r>
      <w:r>
        <w:rPr>
          <w:rFonts w:ascii="黑体" w:hAnsi="黑体" w:eastAsia="黑体" w:cs="黑体"/>
          <w:color w:val="000000" w:themeColor="text1"/>
          <w:sz w:val="28"/>
          <w:szCs w:val="28"/>
          <w14:textFill>
            <w14:solidFill>
              <w14:schemeClr w14:val="tx1"/>
            </w14:solidFill>
          </w14:textFill>
        </w:rPr>
        <w:fldChar w:fldCharType="end"/>
      </w:r>
    </w:p>
    <w:p>
      <w:pPr>
        <w:pStyle w:val="18"/>
        <w:tabs>
          <w:tab w:val="right" w:leader="dot" w:pos="8306"/>
        </w:tabs>
        <w:spacing w:line="420" w:lineRule="exact"/>
        <w:rPr>
          <w:rFonts w:hint="eastAsia" w:ascii="黑体" w:hAnsi="黑体" w:eastAsia="黑体" w:cs="黑体"/>
          <w:color w:val="000000" w:themeColor="text1"/>
          <w:sz w:val="28"/>
          <w:szCs w:val="28"/>
          <w:lang w:val="en-US" w:eastAsia="zh-CN"/>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"_Toc20146" </w:instrText>
      </w:r>
      <w:r>
        <w:rPr>
          <w:color w:val="000000" w:themeColor="text1"/>
          <w14:textFill>
            <w14:solidFill>
              <w14:schemeClr w14:val="tx1"/>
            </w14:solidFill>
          </w14:textFill>
        </w:rPr>
        <w:fldChar w:fldCharType="separate"/>
      </w:r>
      <w:r>
        <w:rPr>
          <w:rFonts w:hint="eastAsia" w:ascii="黑体" w:hAnsi="黑体" w:eastAsia="黑体" w:cs="黑体"/>
          <w:color w:val="000000" w:themeColor="text1"/>
          <w:sz w:val="28"/>
          <w:szCs w:val="28"/>
          <w14:textFill>
            <w14:solidFill>
              <w14:schemeClr w14:val="tx1"/>
            </w14:solidFill>
          </w14:textFill>
        </w:rPr>
        <w:t>九、笔试加分</w:t>
      </w:r>
      <w:r>
        <w:rPr>
          <w:rFonts w:ascii="黑体" w:hAnsi="黑体" w:eastAsia="黑体" w:cs="黑体"/>
          <w:color w:val="000000" w:themeColor="text1"/>
          <w:sz w:val="28"/>
          <w:szCs w:val="28"/>
          <w14:textFill>
            <w14:solidFill>
              <w14:schemeClr w14:val="tx1"/>
            </w14:solidFill>
          </w14:textFill>
        </w:rPr>
        <w:tab/>
      </w:r>
      <w:r>
        <w:rPr>
          <w:rFonts w:hint="eastAsia" w:ascii="黑体" w:hAnsi="黑体" w:eastAsia="黑体" w:cs="黑体"/>
          <w:color w:val="000000" w:themeColor="text1"/>
          <w:sz w:val="28"/>
          <w:szCs w:val="28"/>
          <w:lang w:val="en-US" w:eastAsia="zh-CN"/>
          <w14:textFill>
            <w14:solidFill>
              <w14:schemeClr w14:val="tx1"/>
            </w14:solidFill>
          </w14:textFill>
        </w:rPr>
        <w:t>1</w:t>
      </w:r>
      <w:r>
        <w:rPr>
          <w:rFonts w:ascii="黑体" w:hAnsi="黑体" w:eastAsia="黑体" w:cs="黑体"/>
          <w:color w:val="000000" w:themeColor="text1"/>
          <w:sz w:val="28"/>
          <w:szCs w:val="28"/>
          <w14:textFill>
            <w14:solidFill>
              <w14:schemeClr w14:val="tx1"/>
            </w14:solidFill>
          </w14:textFill>
        </w:rPr>
        <w:fldChar w:fldCharType="end"/>
      </w:r>
      <w:r>
        <w:rPr>
          <w:rFonts w:hint="eastAsia" w:ascii="黑体" w:hAnsi="黑体" w:eastAsia="黑体" w:cs="黑体"/>
          <w:color w:val="000000" w:themeColor="text1"/>
          <w:sz w:val="28"/>
          <w:szCs w:val="28"/>
          <w:lang w:val="en-US" w:eastAsia="zh-CN"/>
          <w14:textFill>
            <w14:solidFill>
              <w14:schemeClr w14:val="tx1"/>
            </w14:solidFill>
          </w14:textFill>
        </w:rPr>
        <w:t>0</w:t>
      </w:r>
    </w:p>
    <w:p>
      <w:pPr>
        <w:pStyle w:val="18"/>
        <w:tabs>
          <w:tab w:val="right" w:leader="dot" w:pos="8306"/>
        </w:tabs>
        <w:spacing w:line="420" w:lineRule="exact"/>
        <w:rPr>
          <w:rFonts w:hint="eastAsia" w:ascii="楷体" w:hAnsi="楷体" w:eastAsia="楷体" w:cs="楷体"/>
          <w:color w:val="000000" w:themeColor="text1"/>
          <w:sz w:val="28"/>
          <w:szCs w:val="28"/>
          <w:lang w:val="en-US" w:eastAsia="zh-CN"/>
          <w14:textFill>
            <w14:solidFill>
              <w14:schemeClr w14:val="tx1"/>
            </w14:solidFill>
          </w14:textFill>
        </w:rPr>
      </w:pPr>
      <w:r>
        <w:rPr>
          <w:rFonts w:hint="eastAsia" w:ascii="楷体" w:hAnsi="楷体" w:eastAsia="楷体" w:cs="楷体"/>
          <w:color w:val="000000" w:themeColor="text1"/>
          <w:sz w:val="28"/>
          <w:szCs w:val="28"/>
          <w:u w:val="none"/>
          <w14:textFill>
            <w14:solidFill>
              <w14:schemeClr w14:val="tx1"/>
            </w14:solidFill>
          </w14:textFill>
        </w:rPr>
        <w:fldChar w:fldCharType="begin"/>
      </w:r>
      <w:r>
        <w:rPr>
          <w:rFonts w:hint="eastAsia" w:ascii="楷体" w:hAnsi="楷体" w:eastAsia="楷体" w:cs="楷体"/>
          <w:color w:val="000000" w:themeColor="text1"/>
          <w:sz w:val="28"/>
          <w:szCs w:val="28"/>
          <w:u w:val="none"/>
          <w14:textFill>
            <w14:solidFill>
              <w14:schemeClr w14:val="tx1"/>
            </w14:solidFill>
          </w14:textFill>
        </w:rPr>
        <w:instrText xml:space="preserve"> HYPERLINK \l "_（一）加分原则" </w:instrText>
      </w:r>
      <w:r>
        <w:rPr>
          <w:rFonts w:hint="eastAsia" w:ascii="楷体" w:hAnsi="楷体" w:eastAsia="楷体" w:cs="楷体"/>
          <w:color w:val="000000" w:themeColor="text1"/>
          <w:sz w:val="28"/>
          <w:szCs w:val="28"/>
          <w:u w:val="none"/>
          <w14:textFill>
            <w14:solidFill>
              <w14:schemeClr w14:val="tx1"/>
            </w14:solidFill>
          </w14:textFill>
        </w:rPr>
        <w:fldChar w:fldCharType="separate"/>
      </w:r>
      <w:r>
        <w:rPr>
          <w:rStyle w:val="11"/>
          <w:rFonts w:hint="eastAsia" w:ascii="楷体" w:hAnsi="楷体" w:eastAsia="楷体" w:cs="楷体"/>
          <w:color w:val="000000" w:themeColor="text1"/>
          <w:sz w:val="28"/>
          <w:szCs w:val="28"/>
          <w14:textFill>
            <w14:solidFill>
              <w14:schemeClr w14:val="tx1"/>
            </w14:solidFill>
          </w14:textFill>
        </w:rPr>
        <w:t>（一）加分原则</w:t>
      </w:r>
      <w:r>
        <w:rPr>
          <w:rStyle w:val="11"/>
          <w:rFonts w:ascii="楷体" w:hAnsi="楷体" w:eastAsia="楷体" w:cs="楷体"/>
          <w:color w:val="000000" w:themeColor="text1"/>
          <w:sz w:val="28"/>
          <w:szCs w:val="28"/>
          <w14:textFill>
            <w14:solidFill>
              <w14:schemeClr w14:val="tx1"/>
            </w14:solidFill>
          </w14:textFill>
        </w:rPr>
        <w:tab/>
      </w:r>
      <w:r>
        <w:rPr>
          <w:rStyle w:val="11"/>
          <w:rFonts w:hint="eastAsia" w:ascii="楷体" w:hAnsi="楷体" w:eastAsia="楷体" w:cs="楷体"/>
          <w:color w:val="000000" w:themeColor="text1"/>
          <w:sz w:val="28"/>
          <w:szCs w:val="28"/>
          <w:lang w:val="en-US" w:eastAsia="zh-CN"/>
          <w14:textFill>
            <w14:solidFill>
              <w14:schemeClr w14:val="tx1"/>
            </w14:solidFill>
          </w14:textFill>
        </w:rPr>
        <w:t>10</w:t>
      </w:r>
      <w:r>
        <w:rPr>
          <w:rFonts w:hint="eastAsia" w:ascii="楷体" w:hAnsi="楷体" w:eastAsia="楷体" w:cs="楷体"/>
          <w:color w:val="000000" w:themeColor="text1"/>
          <w:sz w:val="28"/>
          <w:szCs w:val="28"/>
          <w:u w:val="none"/>
          <w14:textFill>
            <w14:solidFill>
              <w14:schemeClr w14:val="tx1"/>
            </w14:solidFill>
          </w14:textFill>
        </w:rPr>
        <w:fldChar w:fldCharType="end"/>
      </w:r>
    </w:p>
    <w:p>
      <w:pPr>
        <w:pStyle w:val="18"/>
        <w:tabs>
          <w:tab w:val="right" w:leader="dot" w:pos="8306"/>
        </w:tabs>
        <w:spacing w:line="420" w:lineRule="exact"/>
        <w:rPr>
          <w:rFonts w:hint="eastAsia" w:ascii="楷体" w:hAnsi="楷体" w:eastAsia="楷体" w:cs="楷体"/>
          <w:color w:val="000000" w:themeColor="text1"/>
          <w:sz w:val="28"/>
          <w:szCs w:val="28"/>
          <w:lang w:val="en-US" w:eastAsia="zh-CN"/>
          <w14:textFill>
            <w14:solidFill>
              <w14:schemeClr w14:val="tx1"/>
            </w14:solidFill>
          </w14:textFill>
        </w:rPr>
      </w:pPr>
      <w:r>
        <w:rPr>
          <w:rFonts w:hint="eastAsia" w:ascii="楷体" w:hAnsi="楷体" w:eastAsia="楷体" w:cs="楷体"/>
          <w:color w:val="000000" w:themeColor="text1"/>
          <w:sz w:val="28"/>
          <w:szCs w:val="28"/>
          <w:u w:val="none"/>
          <w14:textFill>
            <w14:solidFill>
              <w14:schemeClr w14:val="tx1"/>
            </w14:solidFill>
          </w14:textFill>
        </w:rPr>
        <w:fldChar w:fldCharType="begin"/>
      </w:r>
      <w:r>
        <w:rPr>
          <w:rFonts w:hint="eastAsia" w:ascii="楷体" w:hAnsi="楷体" w:eastAsia="楷体" w:cs="楷体"/>
          <w:color w:val="000000" w:themeColor="text1"/>
          <w:sz w:val="28"/>
          <w:szCs w:val="28"/>
          <w:u w:val="none"/>
          <w14:textFill>
            <w14:solidFill>
              <w14:schemeClr w14:val="tx1"/>
            </w14:solidFill>
          </w14:textFill>
        </w:rPr>
        <w:instrText xml:space="preserve"> HYPERLINK \l "_（二）加分政策" </w:instrText>
      </w:r>
      <w:r>
        <w:rPr>
          <w:rFonts w:hint="eastAsia" w:ascii="楷体" w:hAnsi="楷体" w:eastAsia="楷体" w:cs="楷体"/>
          <w:color w:val="000000" w:themeColor="text1"/>
          <w:sz w:val="28"/>
          <w:szCs w:val="28"/>
          <w:u w:val="none"/>
          <w14:textFill>
            <w14:solidFill>
              <w14:schemeClr w14:val="tx1"/>
            </w14:solidFill>
          </w14:textFill>
        </w:rPr>
        <w:fldChar w:fldCharType="separate"/>
      </w:r>
      <w:r>
        <w:rPr>
          <w:rStyle w:val="11"/>
          <w:rFonts w:hint="eastAsia" w:ascii="楷体" w:hAnsi="楷体" w:eastAsia="楷体" w:cs="楷体"/>
          <w:color w:val="000000" w:themeColor="text1"/>
          <w:sz w:val="28"/>
          <w:szCs w:val="28"/>
          <w14:textFill>
            <w14:solidFill>
              <w14:schemeClr w14:val="tx1"/>
            </w14:solidFill>
          </w14:textFill>
        </w:rPr>
        <w:t>（二）加分政策</w:t>
      </w:r>
      <w:r>
        <w:rPr>
          <w:rStyle w:val="11"/>
          <w:rFonts w:hint="eastAsia" w:ascii="楷体" w:hAnsi="楷体" w:eastAsia="楷体" w:cs="楷体"/>
          <w:color w:val="000000" w:themeColor="text1"/>
          <w:sz w:val="28"/>
          <w:szCs w:val="28"/>
          <w14:textFill>
            <w14:solidFill>
              <w14:schemeClr w14:val="tx1"/>
            </w14:solidFill>
          </w14:textFill>
        </w:rPr>
        <w:tab/>
      </w:r>
      <w:r>
        <w:rPr>
          <w:rStyle w:val="11"/>
          <w:rFonts w:hint="eastAsia" w:ascii="楷体" w:hAnsi="楷体" w:eastAsia="楷体" w:cs="楷体"/>
          <w:color w:val="000000" w:themeColor="text1"/>
          <w:sz w:val="28"/>
          <w:szCs w:val="28"/>
          <w:lang w:val="en-US" w:eastAsia="zh-CN"/>
          <w14:textFill>
            <w14:solidFill>
              <w14:schemeClr w14:val="tx1"/>
            </w14:solidFill>
          </w14:textFill>
        </w:rPr>
        <w:t>1</w:t>
      </w:r>
      <w:r>
        <w:rPr>
          <w:rFonts w:hint="eastAsia" w:ascii="楷体" w:hAnsi="楷体" w:eastAsia="楷体" w:cs="楷体"/>
          <w:color w:val="000000" w:themeColor="text1"/>
          <w:sz w:val="28"/>
          <w:szCs w:val="28"/>
          <w:u w:val="none"/>
          <w14:textFill>
            <w14:solidFill>
              <w14:schemeClr w14:val="tx1"/>
            </w14:solidFill>
          </w14:textFill>
        </w:rPr>
        <w:fldChar w:fldCharType="end"/>
      </w:r>
      <w:r>
        <w:rPr>
          <w:rFonts w:hint="eastAsia" w:ascii="楷体" w:hAnsi="楷体" w:eastAsia="楷体" w:cs="楷体"/>
          <w:color w:val="000000" w:themeColor="text1"/>
          <w:sz w:val="28"/>
          <w:szCs w:val="28"/>
          <w:u w:val="none"/>
          <w:lang w:val="en-US" w:eastAsia="zh-CN"/>
          <w14:textFill>
            <w14:solidFill>
              <w14:schemeClr w14:val="tx1"/>
            </w14:solidFill>
          </w14:textFill>
        </w:rPr>
        <w:t>0</w:t>
      </w:r>
    </w:p>
    <w:p>
      <w:pPr>
        <w:pStyle w:val="18"/>
        <w:tabs>
          <w:tab w:val="right" w:leader="dot" w:pos="8306"/>
        </w:tabs>
        <w:spacing w:line="420" w:lineRule="exact"/>
        <w:rPr>
          <w:rFonts w:ascii="楷体" w:hAnsi="楷体" w:eastAsia="楷体" w:cs="楷体"/>
          <w:color w:val="000000" w:themeColor="text1"/>
          <w:sz w:val="28"/>
          <w:szCs w:val="28"/>
          <w14:textFill>
            <w14:solidFill>
              <w14:schemeClr w14:val="tx1"/>
            </w14:solidFill>
          </w14:textFill>
        </w:rPr>
      </w:pPr>
      <w:r>
        <w:rPr>
          <w:rFonts w:hint="eastAsia" w:ascii="楷体" w:hAnsi="楷体" w:eastAsia="楷体" w:cs="楷体"/>
          <w:color w:val="000000" w:themeColor="text1"/>
          <w:sz w:val="28"/>
          <w:szCs w:val="28"/>
          <w:u w:val="none"/>
          <w14:textFill>
            <w14:solidFill>
              <w14:schemeClr w14:val="tx1"/>
            </w14:solidFill>
          </w14:textFill>
        </w:rPr>
        <w:fldChar w:fldCharType="begin"/>
      </w:r>
      <w:r>
        <w:rPr>
          <w:rFonts w:hint="eastAsia" w:ascii="楷体" w:hAnsi="楷体" w:eastAsia="楷体" w:cs="楷体"/>
          <w:color w:val="000000" w:themeColor="text1"/>
          <w:sz w:val="28"/>
          <w:szCs w:val="28"/>
          <w:u w:val="none"/>
          <w14:textFill>
            <w14:solidFill>
              <w14:schemeClr w14:val="tx1"/>
            </w14:solidFill>
          </w14:textFill>
        </w:rPr>
        <w:instrText xml:space="preserve"> HYPERLINK \l "_（三）加分证明" </w:instrText>
      </w:r>
      <w:r>
        <w:rPr>
          <w:rFonts w:hint="eastAsia" w:ascii="楷体" w:hAnsi="楷体" w:eastAsia="楷体" w:cs="楷体"/>
          <w:color w:val="000000" w:themeColor="text1"/>
          <w:sz w:val="28"/>
          <w:szCs w:val="28"/>
          <w:u w:val="none"/>
          <w14:textFill>
            <w14:solidFill>
              <w14:schemeClr w14:val="tx1"/>
            </w14:solidFill>
          </w14:textFill>
        </w:rPr>
        <w:fldChar w:fldCharType="separate"/>
      </w:r>
      <w:r>
        <w:rPr>
          <w:rStyle w:val="11"/>
          <w:rFonts w:hint="eastAsia" w:ascii="楷体" w:hAnsi="楷体" w:eastAsia="楷体" w:cs="楷体"/>
          <w:color w:val="000000" w:themeColor="text1"/>
          <w:sz w:val="28"/>
          <w:szCs w:val="28"/>
          <w14:textFill>
            <w14:solidFill>
              <w14:schemeClr w14:val="tx1"/>
            </w14:solidFill>
          </w14:textFill>
        </w:rPr>
        <w:t>（三）加分证明</w:t>
      </w:r>
      <w:r>
        <w:rPr>
          <w:rStyle w:val="11"/>
          <w:rFonts w:ascii="楷体" w:hAnsi="楷体" w:eastAsia="楷体" w:cs="楷体"/>
          <w:color w:val="000000" w:themeColor="text1"/>
          <w:sz w:val="28"/>
          <w:szCs w:val="28"/>
          <w14:textFill>
            <w14:solidFill>
              <w14:schemeClr w14:val="tx1"/>
            </w14:solidFill>
          </w14:textFill>
        </w:rPr>
        <w:tab/>
      </w:r>
      <w:r>
        <w:rPr>
          <w:rStyle w:val="11"/>
          <w:rFonts w:ascii="楷体" w:hAnsi="楷体" w:eastAsia="楷体" w:cs="楷体"/>
          <w:color w:val="000000" w:themeColor="text1"/>
          <w:sz w:val="28"/>
          <w:szCs w:val="28"/>
          <w14:textFill>
            <w14:solidFill>
              <w14:schemeClr w14:val="tx1"/>
            </w14:solidFill>
          </w14:textFill>
        </w:rPr>
        <w:fldChar w:fldCharType="begin"/>
      </w:r>
      <w:r>
        <w:rPr>
          <w:rStyle w:val="11"/>
          <w:rFonts w:ascii="楷体" w:hAnsi="楷体" w:eastAsia="楷体" w:cs="楷体"/>
          <w:color w:val="000000" w:themeColor="text1"/>
          <w:sz w:val="28"/>
          <w:szCs w:val="28"/>
          <w14:textFill>
            <w14:solidFill>
              <w14:schemeClr w14:val="tx1"/>
            </w14:solidFill>
          </w14:textFill>
        </w:rPr>
        <w:instrText xml:space="preserve"> PAGEREF _Toc8388 \h </w:instrText>
      </w:r>
      <w:r>
        <w:rPr>
          <w:rStyle w:val="11"/>
          <w:rFonts w:ascii="楷体" w:hAnsi="楷体" w:eastAsia="楷体" w:cs="楷体"/>
          <w:color w:val="000000" w:themeColor="text1"/>
          <w:sz w:val="28"/>
          <w:szCs w:val="28"/>
          <w14:textFill>
            <w14:solidFill>
              <w14:schemeClr w14:val="tx1"/>
            </w14:solidFill>
          </w14:textFill>
        </w:rPr>
        <w:fldChar w:fldCharType="separate"/>
      </w:r>
      <w:r>
        <w:rPr>
          <w:rStyle w:val="11"/>
          <w:rFonts w:ascii="楷体" w:hAnsi="楷体" w:eastAsia="楷体" w:cs="楷体"/>
          <w:color w:val="000000" w:themeColor="text1"/>
          <w:sz w:val="28"/>
          <w:szCs w:val="28"/>
          <w14:textFill>
            <w14:solidFill>
              <w14:schemeClr w14:val="tx1"/>
            </w14:solidFill>
          </w14:textFill>
        </w:rPr>
        <w:t>12</w:t>
      </w:r>
      <w:r>
        <w:rPr>
          <w:rStyle w:val="11"/>
          <w:rFonts w:ascii="楷体" w:hAnsi="楷体" w:eastAsia="楷体" w:cs="楷体"/>
          <w:color w:val="000000" w:themeColor="text1"/>
          <w:sz w:val="28"/>
          <w:szCs w:val="28"/>
          <w14:textFill>
            <w14:solidFill>
              <w14:schemeClr w14:val="tx1"/>
            </w14:solidFill>
          </w14:textFill>
        </w:rPr>
        <w:fldChar w:fldCharType="end"/>
      </w:r>
      <w:r>
        <w:rPr>
          <w:rFonts w:hint="eastAsia" w:ascii="楷体" w:hAnsi="楷体" w:eastAsia="楷体" w:cs="楷体"/>
          <w:color w:val="000000" w:themeColor="text1"/>
          <w:sz w:val="28"/>
          <w:szCs w:val="28"/>
          <w:u w:val="none"/>
          <w14:textFill>
            <w14:solidFill>
              <w14:schemeClr w14:val="tx1"/>
            </w14:solidFill>
          </w14:textFill>
        </w:rPr>
        <w:fldChar w:fldCharType="end"/>
      </w:r>
    </w:p>
    <w:p>
      <w:pPr>
        <w:pStyle w:val="18"/>
        <w:tabs>
          <w:tab w:val="right" w:leader="dot" w:pos="8306"/>
        </w:tabs>
        <w:spacing w:line="420" w:lineRule="exact"/>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u w:val="none"/>
          <w14:textFill>
            <w14:solidFill>
              <w14:schemeClr w14:val="tx1"/>
            </w14:solidFill>
          </w14:textFill>
        </w:rPr>
        <w:fldChar w:fldCharType="begin"/>
      </w:r>
      <w:r>
        <w:rPr>
          <w:rFonts w:hint="eastAsia" w:ascii="黑体" w:hAnsi="黑体" w:eastAsia="黑体" w:cs="黑体"/>
          <w:color w:val="000000" w:themeColor="text1"/>
          <w:sz w:val="28"/>
          <w:szCs w:val="28"/>
          <w:u w:val="none"/>
          <w14:textFill>
            <w14:solidFill>
              <w14:schemeClr w14:val="tx1"/>
            </w14:solidFill>
          </w14:textFill>
        </w:rPr>
        <w:instrText xml:space="preserve"> HYPERLINK \l "_十、体检" </w:instrText>
      </w:r>
      <w:r>
        <w:rPr>
          <w:rFonts w:hint="eastAsia" w:ascii="黑体" w:hAnsi="黑体" w:eastAsia="黑体" w:cs="黑体"/>
          <w:color w:val="000000" w:themeColor="text1"/>
          <w:sz w:val="28"/>
          <w:szCs w:val="28"/>
          <w:u w:val="none"/>
          <w14:textFill>
            <w14:solidFill>
              <w14:schemeClr w14:val="tx1"/>
            </w14:solidFill>
          </w14:textFill>
        </w:rPr>
        <w:fldChar w:fldCharType="separate"/>
      </w:r>
      <w:r>
        <w:rPr>
          <w:rStyle w:val="11"/>
          <w:rFonts w:hint="eastAsia" w:ascii="黑体" w:hAnsi="黑体" w:eastAsia="黑体" w:cs="黑体"/>
          <w:color w:val="000000" w:themeColor="text1"/>
          <w:sz w:val="28"/>
          <w:szCs w:val="28"/>
          <w14:textFill>
            <w14:solidFill>
              <w14:schemeClr w14:val="tx1"/>
            </w14:solidFill>
          </w14:textFill>
        </w:rPr>
        <w:t>十、体检</w:t>
      </w:r>
      <w:r>
        <w:rPr>
          <w:rStyle w:val="11"/>
          <w:rFonts w:ascii="黑体" w:hAnsi="黑体" w:eastAsia="黑体" w:cs="黑体"/>
          <w:color w:val="000000" w:themeColor="text1"/>
          <w:sz w:val="28"/>
          <w:szCs w:val="28"/>
          <w14:textFill>
            <w14:solidFill>
              <w14:schemeClr w14:val="tx1"/>
            </w14:solidFill>
          </w14:textFill>
        </w:rPr>
        <w:tab/>
      </w:r>
      <w:r>
        <w:rPr>
          <w:rStyle w:val="11"/>
          <w:rFonts w:hint="eastAsia" w:ascii="黑体" w:hAnsi="黑体" w:eastAsia="黑体" w:cs="黑体"/>
          <w:color w:val="000000" w:themeColor="text1"/>
          <w:sz w:val="28"/>
          <w:szCs w:val="28"/>
          <w:lang w:val="en-US" w:eastAsia="zh-CN"/>
          <w14:textFill>
            <w14:solidFill>
              <w14:schemeClr w14:val="tx1"/>
            </w14:solidFill>
          </w14:textFill>
        </w:rPr>
        <w:t>13</w:t>
      </w:r>
      <w:r>
        <w:rPr>
          <w:rFonts w:hint="eastAsia" w:ascii="黑体" w:hAnsi="黑体" w:eastAsia="黑体" w:cs="黑体"/>
          <w:color w:val="000000" w:themeColor="text1"/>
          <w:sz w:val="28"/>
          <w:szCs w:val="28"/>
          <w:u w:val="none"/>
          <w14:textFill>
            <w14:solidFill>
              <w14:schemeClr w14:val="tx1"/>
            </w14:solidFill>
          </w14:textFill>
        </w:rPr>
        <w:fldChar w:fldCharType="end"/>
      </w:r>
    </w:p>
    <w:p>
      <w:pPr>
        <w:pStyle w:val="18"/>
        <w:tabs>
          <w:tab w:val="right" w:leader="dot" w:pos="8306"/>
        </w:tabs>
        <w:spacing w:line="420" w:lineRule="exact"/>
        <w:rPr>
          <w:rFonts w:hint="eastAsia" w:ascii="楷体" w:hAnsi="楷体" w:eastAsia="楷体" w:cs="楷体"/>
          <w:color w:val="000000" w:themeColor="text1"/>
          <w:sz w:val="28"/>
          <w:szCs w:val="28"/>
          <w:lang w:val="en-US" w:eastAsia="zh-CN"/>
          <w14:textFill>
            <w14:solidFill>
              <w14:schemeClr w14:val="tx1"/>
            </w14:solidFill>
          </w14:textFill>
        </w:rPr>
      </w:pPr>
      <w:r>
        <w:rPr>
          <w:rFonts w:hint="eastAsia" w:ascii="楷体" w:hAnsi="楷体" w:eastAsia="楷体" w:cs="楷体"/>
          <w:color w:val="000000" w:themeColor="text1"/>
          <w:sz w:val="28"/>
          <w:szCs w:val="28"/>
          <w:u w:val="none"/>
          <w14:textFill>
            <w14:solidFill>
              <w14:schemeClr w14:val="tx1"/>
            </w14:solidFill>
          </w14:textFill>
        </w:rPr>
        <w:fldChar w:fldCharType="begin"/>
      </w:r>
      <w:r>
        <w:rPr>
          <w:rFonts w:hint="eastAsia" w:ascii="楷体" w:hAnsi="楷体" w:eastAsia="楷体" w:cs="楷体"/>
          <w:color w:val="000000" w:themeColor="text1"/>
          <w:sz w:val="28"/>
          <w:szCs w:val="28"/>
          <w:u w:val="none"/>
          <w14:textFill>
            <w14:solidFill>
              <w14:schemeClr w14:val="tx1"/>
            </w14:solidFill>
          </w14:textFill>
        </w:rPr>
        <w:instrText xml:space="preserve"> HYPERLINK \l "_（一）确定人选" </w:instrText>
      </w:r>
      <w:r>
        <w:rPr>
          <w:rFonts w:hint="eastAsia" w:ascii="楷体" w:hAnsi="楷体" w:eastAsia="楷体" w:cs="楷体"/>
          <w:color w:val="000000" w:themeColor="text1"/>
          <w:sz w:val="28"/>
          <w:szCs w:val="28"/>
          <w:u w:val="none"/>
          <w14:textFill>
            <w14:solidFill>
              <w14:schemeClr w14:val="tx1"/>
            </w14:solidFill>
          </w14:textFill>
        </w:rPr>
        <w:fldChar w:fldCharType="separate"/>
      </w:r>
      <w:r>
        <w:rPr>
          <w:rStyle w:val="11"/>
          <w:rFonts w:hint="eastAsia" w:ascii="楷体" w:hAnsi="楷体" w:eastAsia="楷体" w:cs="楷体"/>
          <w:color w:val="000000" w:themeColor="text1"/>
          <w:sz w:val="28"/>
          <w:szCs w:val="28"/>
          <w14:textFill>
            <w14:solidFill>
              <w14:schemeClr w14:val="tx1"/>
            </w14:solidFill>
          </w14:textFill>
        </w:rPr>
        <w:t>（一）确定人选</w:t>
      </w:r>
      <w:r>
        <w:rPr>
          <w:rStyle w:val="11"/>
          <w:rFonts w:ascii="楷体" w:hAnsi="楷体" w:eastAsia="楷体" w:cs="楷体"/>
          <w:color w:val="000000" w:themeColor="text1"/>
          <w:sz w:val="28"/>
          <w:szCs w:val="28"/>
          <w14:textFill>
            <w14:solidFill>
              <w14:schemeClr w14:val="tx1"/>
            </w14:solidFill>
          </w14:textFill>
        </w:rPr>
        <w:tab/>
      </w:r>
      <w:r>
        <w:rPr>
          <w:rStyle w:val="11"/>
          <w:rFonts w:hint="eastAsia" w:ascii="楷体" w:hAnsi="楷体" w:eastAsia="楷体" w:cs="楷体"/>
          <w:color w:val="000000" w:themeColor="text1"/>
          <w:sz w:val="28"/>
          <w:szCs w:val="28"/>
          <w:lang w:val="en-US" w:eastAsia="zh-CN"/>
          <w14:textFill>
            <w14:solidFill>
              <w14:schemeClr w14:val="tx1"/>
            </w14:solidFill>
          </w14:textFill>
        </w:rPr>
        <w:t>13</w:t>
      </w:r>
      <w:r>
        <w:rPr>
          <w:rFonts w:hint="eastAsia" w:ascii="楷体" w:hAnsi="楷体" w:eastAsia="楷体" w:cs="楷体"/>
          <w:color w:val="000000" w:themeColor="text1"/>
          <w:sz w:val="28"/>
          <w:szCs w:val="28"/>
          <w:u w:val="none"/>
          <w14:textFill>
            <w14:solidFill>
              <w14:schemeClr w14:val="tx1"/>
            </w14:solidFill>
          </w14:textFill>
        </w:rPr>
        <w:fldChar w:fldCharType="end"/>
      </w:r>
    </w:p>
    <w:p>
      <w:pPr>
        <w:pStyle w:val="18"/>
        <w:tabs>
          <w:tab w:val="right" w:leader="dot" w:pos="8306"/>
        </w:tabs>
        <w:spacing w:line="420" w:lineRule="exact"/>
        <w:rPr>
          <w:rFonts w:hint="eastAsia" w:ascii="楷体" w:hAnsi="楷体" w:eastAsia="楷体" w:cs="楷体"/>
          <w:color w:val="000000" w:themeColor="text1"/>
          <w:sz w:val="28"/>
          <w:szCs w:val="28"/>
          <w:lang w:val="en-US" w:eastAsia="zh-CN"/>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"_Toc31894" </w:instrText>
      </w:r>
      <w:r>
        <w:rPr>
          <w:color w:val="000000" w:themeColor="text1"/>
          <w14:textFill>
            <w14:solidFill>
              <w14:schemeClr w14:val="tx1"/>
            </w14:solidFill>
          </w14:textFill>
        </w:rPr>
        <w:fldChar w:fldCharType="separate"/>
      </w:r>
      <w:r>
        <w:rPr>
          <w:rFonts w:hint="eastAsia" w:ascii="楷体" w:hAnsi="楷体" w:eastAsia="楷体" w:cs="楷体"/>
          <w:color w:val="000000" w:themeColor="text1"/>
          <w:sz w:val="28"/>
          <w:szCs w:val="28"/>
          <w14:textFill>
            <w14:solidFill>
              <w14:schemeClr w14:val="tx1"/>
            </w14:solidFill>
          </w14:textFill>
        </w:rPr>
        <w:t>（二）组织体检</w:t>
      </w:r>
      <w:r>
        <w:rPr>
          <w:rFonts w:ascii="楷体" w:hAnsi="楷体" w:eastAsia="楷体" w:cs="楷体"/>
          <w:color w:val="000000" w:themeColor="text1"/>
          <w:sz w:val="28"/>
          <w:szCs w:val="28"/>
          <w14:textFill>
            <w14:solidFill>
              <w14:schemeClr w14:val="tx1"/>
            </w14:solidFill>
          </w14:textFill>
        </w:rPr>
        <w:tab/>
      </w:r>
      <w:r>
        <w:rPr>
          <w:rFonts w:hint="eastAsia" w:ascii="楷体" w:hAnsi="楷体" w:eastAsia="楷体" w:cs="楷体"/>
          <w:color w:val="000000" w:themeColor="text1"/>
          <w:sz w:val="28"/>
          <w:szCs w:val="28"/>
          <w:lang w:val="en-US" w:eastAsia="zh-CN"/>
          <w14:textFill>
            <w14:solidFill>
              <w14:schemeClr w14:val="tx1"/>
            </w14:solidFill>
          </w14:textFill>
        </w:rPr>
        <w:t>1</w:t>
      </w:r>
      <w:r>
        <w:rPr>
          <w:rFonts w:ascii="楷体" w:hAnsi="楷体" w:eastAsia="楷体" w:cs="楷体"/>
          <w:color w:val="000000" w:themeColor="text1"/>
          <w:sz w:val="28"/>
          <w:szCs w:val="28"/>
          <w14:textFill>
            <w14:solidFill>
              <w14:schemeClr w14:val="tx1"/>
            </w14:solidFill>
          </w14:textFill>
        </w:rPr>
        <w:fldChar w:fldCharType="end"/>
      </w:r>
      <w:r>
        <w:rPr>
          <w:rFonts w:hint="eastAsia" w:ascii="楷体" w:hAnsi="楷体" w:eastAsia="楷体" w:cs="楷体"/>
          <w:color w:val="000000" w:themeColor="text1"/>
          <w:sz w:val="28"/>
          <w:szCs w:val="28"/>
          <w:lang w:val="en-US" w:eastAsia="zh-CN"/>
          <w14:textFill>
            <w14:solidFill>
              <w14:schemeClr w14:val="tx1"/>
            </w14:solidFill>
          </w14:textFill>
        </w:rPr>
        <w:t>3</w:t>
      </w:r>
    </w:p>
    <w:p>
      <w:pPr>
        <w:pStyle w:val="18"/>
        <w:tabs>
          <w:tab w:val="right" w:leader="dot" w:pos="8306"/>
        </w:tabs>
        <w:spacing w:line="420" w:lineRule="exact"/>
        <w:rPr>
          <w:rFonts w:hint="eastAsia" w:ascii="楷体" w:hAnsi="楷体" w:eastAsia="楷体" w:cs="楷体"/>
          <w:color w:val="000000" w:themeColor="text1"/>
          <w:sz w:val="28"/>
          <w:szCs w:val="28"/>
          <w:lang w:val="en-US" w:eastAsia="zh-CN"/>
          <w14:textFill>
            <w14:solidFill>
              <w14:schemeClr w14:val="tx1"/>
            </w14:solidFill>
          </w14:textFill>
        </w:rPr>
      </w:pPr>
      <w:r>
        <w:rPr>
          <w:rFonts w:hint="eastAsia" w:ascii="楷体" w:hAnsi="楷体" w:eastAsia="楷体" w:cs="楷体"/>
          <w:color w:val="000000" w:themeColor="text1"/>
          <w:sz w:val="28"/>
          <w:szCs w:val="28"/>
          <w:u w:val="none"/>
          <w14:textFill>
            <w14:solidFill>
              <w14:schemeClr w14:val="tx1"/>
            </w14:solidFill>
          </w14:textFill>
        </w:rPr>
        <w:fldChar w:fldCharType="begin"/>
      </w:r>
      <w:r>
        <w:rPr>
          <w:rFonts w:hint="eastAsia" w:ascii="楷体" w:hAnsi="楷体" w:eastAsia="楷体" w:cs="楷体"/>
          <w:color w:val="000000" w:themeColor="text1"/>
          <w:sz w:val="28"/>
          <w:szCs w:val="28"/>
          <w:u w:val="none"/>
          <w14:textFill>
            <w14:solidFill>
              <w14:schemeClr w14:val="tx1"/>
            </w14:solidFill>
          </w14:textFill>
        </w:rPr>
        <w:instrText xml:space="preserve"> HYPERLINK \l "_（三）体检依据" </w:instrText>
      </w:r>
      <w:r>
        <w:rPr>
          <w:rFonts w:hint="eastAsia" w:ascii="楷体" w:hAnsi="楷体" w:eastAsia="楷体" w:cs="楷体"/>
          <w:color w:val="000000" w:themeColor="text1"/>
          <w:sz w:val="28"/>
          <w:szCs w:val="28"/>
          <w:u w:val="none"/>
          <w14:textFill>
            <w14:solidFill>
              <w14:schemeClr w14:val="tx1"/>
            </w14:solidFill>
          </w14:textFill>
        </w:rPr>
        <w:fldChar w:fldCharType="separate"/>
      </w:r>
      <w:r>
        <w:rPr>
          <w:rStyle w:val="11"/>
          <w:rFonts w:hint="eastAsia" w:ascii="楷体" w:hAnsi="楷体" w:eastAsia="楷体" w:cs="楷体"/>
          <w:color w:val="000000" w:themeColor="text1"/>
          <w:sz w:val="28"/>
          <w:szCs w:val="28"/>
          <w14:textFill>
            <w14:solidFill>
              <w14:schemeClr w14:val="tx1"/>
            </w14:solidFill>
          </w14:textFill>
        </w:rPr>
        <w:t>（三）体检依据</w:t>
      </w:r>
      <w:r>
        <w:rPr>
          <w:rStyle w:val="11"/>
          <w:rFonts w:ascii="楷体" w:hAnsi="楷体" w:eastAsia="楷体" w:cs="楷体"/>
          <w:color w:val="000000" w:themeColor="text1"/>
          <w:sz w:val="28"/>
          <w:szCs w:val="28"/>
          <w14:textFill>
            <w14:solidFill>
              <w14:schemeClr w14:val="tx1"/>
            </w14:solidFill>
          </w14:textFill>
        </w:rPr>
        <w:tab/>
      </w:r>
      <w:r>
        <w:rPr>
          <w:rStyle w:val="11"/>
          <w:rFonts w:hint="eastAsia" w:ascii="楷体" w:hAnsi="楷体" w:eastAsia="楷体" w:cs="楷体"/>
          <w:color w:val="000000" w:themeColor="text1"/>
          <w:sz w:val="28"/>
          <w:szCs w:val="28"/>
          <w:lang w:val="en-US" w:eastAsia="zh-CN"/>
          <w14:textFill>
            <w14:solidFill>
              <w14:schemeClr w14:val="tx1"/>
            </w14:solidFill>
          </w14:textFill>
        </w:rPr>
        <w:t>13</w:t>
      </w:r>
      <w:r>
        <w:rPr>
          <w:rFonts w:hint="eastAsia" w:ascii="楷体" w:hAnsi="楷体" w:eastAsia="楷体" w:cs="楷体"/>
          <w:color w:val="000000" w:themeColor="text1"/>
          <w:sz w:val="28"/>
          <w:szCs w:val="28"/>
          <w:u w:val="none"/>
          <w14:textFill>
            <w14:solidFill>
              <w14:schemeClr w14:val="tx1"/>
            </w14:solidFill>
          </w14:textFill>
        </w:rPr>
        <w:fldChar w:fldCharType="end"/>
      </w:r>
    </w:p>
    <w:p>
      <w:pPr>
        <w:pStyle w:val="18"/>
        <w:tabs>
          <w:tab w:val="right" w:leader="dot" w:pos="8306"/>
        </w:tabs>
        <w:spacing w:line="420" w:lineRule="exact"/>
        <w:rPr>
          <w:rFonts w:hint="eastAsia" w:ascii="楷体" w:hAnsi="楷体" w:eastAsia="楷体" w:cs="楷体"/>
          <w:color w:val="000000" w:themeColor="text1"/>
          <w:sz w:val="28"/>
          <w:szCs w:val="28"/>
          <w:lang w:val="en-US" w:eastAsia="zh-CN"/>
          <w14:textFill>
            <w14:solidFill>
              <w14:schemeClr w14:val="tx1"/>
            </w14:solidFill>
          </w14:textFill>
        </w:rPr>
      </w:pPr>
      <w:r>
        <w:rPr>
          <w:rFonts w:hint="eastAsia" w:ascii="楷体" w:hAnsi="楷体" w:eastAsia="楷体" w:cs="楷体"/>
          <w:color w:val="000000" w:themeColor="text1"/>
          <w:sz w:val="28"/>
          <w:szCs w:val="28"/>
          <w:u w:val="none"/>
          <w14:textFill>
            <w14:solidFill>
              <w14:schemeClr w14:val="tx1"/>
            </w14:solidFill>
          </w14:textFill>
        </w:rPr>
        <w:fldChar w:fldCharType="begin"/>
      </w:r>
      <w:r>
        <w:rPr>
          <w:rFonts w:hint="eastAsia" w:ascii="楷体" w:hAnsi="楷体" w:eastAsia="楷体" w:cs="楷体"/>
          <w:color w:val="000000" w:themeColor="text1"/>
          <w:sz w:val="28"/>
          <w:szCs w:val="28"/>
          <w:u w:val="none"/>
          <w14:textFill>
            <w14:solidFill>
              <w14:schemeClr w14:val="tx1"/>
            </w14:solidFill>
          </w14:textFill>
        </w:rPr>
        <w:instrText xml:space="preserve"> HYPERLINK \l "_（四）体检复检" </w:instrText>
      </w:r>
      <w:r>
        <w:rPr>
          <w:rFonts w:hint="eastAsia" w:ascii="楷体" w:hAnsi="楷体" w:eastAsia="楷体" w:cs="楷体"/>
          <w:color w:val="000000" w:themeColor="text1"/>
          <w:sz w:val="28"/>
          <w:szCs w:val="28"/>
          <w:u w:val="none"/>
          <w14:textFill>
            <w14:solidFill>
              <w14:schemeClr w14:val="tx1"/>
            </w14:solidFill>
          </w14:textFill>
        </w:rPr>
        <w:fldChar w:fldCharType="separate"/>
      </w:r>
      <w:r>
        <w:rPr>
          <w:rStyle w:val="11"/>
          <w:rFonts w:hint="eastAsia" w:ascii="楷体" w:hAnsi="楷体" w:eastAsia="楷体" w:cs="楷体"/>
          <w:color w:val="000000" w:themeColor="text1"/>
          <w:sz w:val="28"/>
          <w:szCs w:val="28"/>
          <w14:textFill>
            <w14:solidFill>
              <w14:schemeClr w14:val="tx1"/>
            </w14:solidFill>
          </w14:textFill>
        </w:rPr>
        <w:t>（四）体检复检</w:t>
      </w:r>
      <w:r>
        <w:rPr>
          <w:rStyle w:val="11"/>
          <w:rFonts w:ascii="楷体" w:hAnsi="楷体" w:eastAsia="楷体" w:cs="楷体"/>
          <w:color w:val="000000" w:themeColor="text1"/>
          <w:sz w:val="28"/>
          <w:szCs w:val="28"/>
          <w14:textFill>
            <w14:solidFill>
              <w14:schemeClr w14:val="tx1"/>
            </w14:solidFill>
          </w14:textFill>
        </w:rPr>
        <w:tab/>
      </w:r>
      <w:r>
        <w:rPr>
          <w:rStyle w:val="11"/>
          <w:rFonts w:hint="eastAsia" w:ascii="楷体" w:hAnsi="楷体" w:eastAsia="楷体" w:cs="楷体"/>
          <w:color w:val="000000" w:themeColor="text1"/>
          <w:sz w:val="28"/>
          <w:szCs w:val="28"/>
          <w:lang w:val="en-US" w:eastAsia="zh-CN"/>
          <w14:textFill>
            <w14:solidFill>
              <w14:schemeClr w14:val="tx1"/>
            </w14:solidFill>
          </w14:textFill>
        </w:rPr>
        <w:t>14</w:t>
      </w:r>
      <w:r>
        <w:rPr>
          <w:rFonts w:hint="eastAsia" w:ascii="楷体" w:hAnsi="楷体" w:eastAsia="楷体" w:cs="楷体"/>
          <w:color w:val="000000" w:themeColor="text1"/>
          <w:sz w:val="28"/>
          <w:szCs w:val="28"/>
          <w:u w:val="none"/>
          <w14:textFill>
            <w14:solidFill>
              <w14:schemeClr w14:val="tx1"/>
            </w14:solidFill>
          </w14:textFill>
        </w:rPr>
        <w:fldChar w:fldCharType="end"/>
      </w:r>
    </w:p>
    <w:p>
      <w:pPr>
        <w:pStyle w:val="18"/>
        <w:tabs>
          <w:tab w:val="right" w:leader="dot" w:pos="8306"/>
        </w:tabs>
        <w:spacing w:line="420" w:lineRule="exact"/>
        <w:rPr>
          <w:rFonts w:hint="eastAsia" w:ascii="楷体" w:hAnsi="楷体" w:eastAsia="楷体" w:cs="楷体"/>
          <w:color w:val="000000" w:themeColor="text1"/>
          <w:sz w:val="28"/>
          <w:szCs w:val="28"/>
          <w:lang w:val="en-US" w:eastAsia="zh-CN"/>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"_Toc739" </w:instrText>
      </w:r>
      <w:r>
        <w:rPr>
          <w:color w:val="000000" w:themeColor="text1"/>
          <w14:textFill>
            <w14:solidFill>
              <w14:schemeClr w14:val="tx1"/>
            </w14:solidFill>
          </w14:textFill>
        </w:rPr>
        <w:fldChar w:fldCharType="separate"/>
      </w:r>
      <w:r>
        <w:rPr>
          <w:rFonts w:hint="eastAsia" w:ascii="楷体" w:hAnsi="楷体" w:eastAsia="楷体" w:cs="楷体"/>
          <w:color w:val="000000" w:themeColor="text1"/>
          <w:sz w:val="28"/>
          <w:szCs w:val="28"/>
          <w14:textFill>
            <w14:solidFill>
              <w14:schemeClr w14:val="tx1"/>
            </w14:solidFill>
          </w14:textFill>
        </w:rPr>
        <w:t>（五）可延迟体检的情形</w:t>
      </w:r>
      <w:r>
        <w:rPr>
          <w:rFonts w:ascii="楷体" w:hAnsi="楷体" w:eastAsia="楷体" w:cs="楷体"/>
          <w:color w:val="000000" w:themeColor="text1"/>
          <w:sz w:val="28"/>
          <w:szCs w:val="28"/>
          <w14:textFill>
            <w14:solidFill>
              <w14:schemeClr w14:val="tx1"/>
            </w14:solidFill>
          </w14:textFill>
        </w:rPr>
        <w:tab/>
      </w:r>
      <w:r>
        <w:rPr>
          <w:rFonts w:hint="eastAsia" w:ascii="楷体" w:hAnsi="楷体" w:eastAsia="楷体" w:cs="楷体"/>
          <w:color w:val="000000" w:themeColor="text1"/>
          <w:sz w:val="28"/>
          <w:szCs w:val="28"/>
          <w:lang w:val="en-US" w:eastAsia="zh-CN"/>
          <w14:textFill>
            <w14:solidFill>
              <w14:schemeClr w14:val="tx1"/>
            </w14:solidFill>
          </w14:textFill>
        </w:rPr>
        <w:t>1</w:t>
      </w:r>
      <w:r>
        <w:rPr>
          <w:rFonts w:ascii="楷体" w:hAnsi="楷体" w:eastAsia="楷体" w:cs="楷体"/>
          <w:color w:val="000000" w:themeColor="text1"/>
          <w:sz w:val="28"/>
          <w:szCs w:val="28"/>
          <w14:textFill>
            <w14:solidFill>
              <w14:schemeClr w14:val="tx1"/>
            </w14:solidFill>
          </w14:textFill>
        </w:rPr>
        <w:fldChar w:fldCharType="end"/>
      </w:r>
      <w:r>
        <w:rPr>
          <w:rFonts w:hint="eastAsia" w:ascii="楷体" w:hAnsi="楷体" w:eastAsia="楷体" w:cs="楷体"/>
          <w:color w:val="000000" w:themeColor="text1"/>
          <w:sz w:val="28"/>
          <w:szCs w:val="28"/>
          <w:lang w:val="en-US" w:eastAsia="zh-CN"/>
          <w14:textFill>
            <w14:solidFill>
              <w14:schemeClr w14:val="tx1"/>
            </w14:solidFill>
          </w14:textFill>
        </w:rPr>
        <w:t>5</w:t>
      </w:r>
    </w:p>
    <w:p>
      <w:pPr>
        <w:pStyle w:val="18"/>
        <w:tabs>
          <w:tab w:val="right" w:leader="dot" w:pos="8306"/>
        </w:tabs>
        <w:spacing w:line="420" w:lineRule="exact"/>
        <w:rPr>
          <w:rFonts w:hint="eastAsia" w:ascii="黑体" w:hAnsi="黑体" w:eastAsia="黑体" w:cs="黑体"/>
          <w:color w:val="000000" w:themeColor="text1"/>
          <w:sz w:val="28"/>
          <w:szCs w:val="28"/>
          <w:lang w:val="en-US" w:eastAsia="zh-CN"/>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"_Toc8472" </w:instrText>
      </w:r>
      <w:r>
        <w:rPr>
          <w:color w:val="000000" w:themeColor="text1"/>
          <w14:textFill>
            <w14:solidFill>
              <w14:schemeClr w14:val="tx1"/>
            </w14:solidFill>
          </w14:textFill>
        </w:rPr>
        <w:fldChar w:fldCharType="separate"/>
      </w:r>
      <w:r>
        <w:rPr>
          <w:rFonts w:hint="eastAsia" w:ascii="黑体" w:hAnsi="黑体" w:eastAsia="黑体" w:cs="黑体"/>
          <w:color w:val="000000" w:themeColor="text1"/>
          <w:sz w:val="28"/>
          <w:szCs w:val="28"/>
          <w14:textFill>
            <w14:solidFill>
              <w14:schemeClr w14:val="tx1"/>
            </w14:solidFill>
          </w14:textFill>
        </w:rPr>
        <w:t>十一、考察</w:t>
      </w:r>
      <w:r>
        <w:rPr>
          <w:rFonts w:ascii="黑体" w:hAnsi="黑体" w:eastAsia="黑体" w:cs="黑体"/>
          <w:color w:val="000000" w:themeColor="text1"/>
          <w:sz w:val="28"/>
          <w:szCs w:val="28"/>
          <w14:textFill>
            <w14:solidFill>
              <w14:schemeClr w14:val="tx1"/>
            </w14:solidFill>
          </w14:textFill>
        </w:rPr>
        <w:tab/>
      </w:r>
      <w:r>
        <w:rPr>
          <w:rFonts w:hint="eastAsia" w:ascii="黑体" w:hAnsi="黑体" w:eastAsia="黑体" w:cs="黑体"/>
          <w:color w:val="000000" w:themeColor="text1"/>
          <w:sz w:val="28"/>
          <w:szCs w:val="28"/>
          <w:lang w:val="en-US" w:eastAsia="zh-CN"/>
          <w14:textFill>
            <w14:solidFill>
              <w14:schemeClr w14:val="tx1"/>
            </w14:solidFill>
          </w14:textFill>
        </w:rPr>
        <w:t>1</w:t>
      </w:r>
      <w:r>
        <w:rPr>
          <w:rFonts w:ascii="黑体" w:hAnsi="黑体" w:eastAsia="黑体" w:cs="黑体"/>
          <w:color w:val="000000" w:themeColor="text1"/>
          <w:sz w:val="28"/>
          <w:szCs w:val="28"/>
          <w14:textFill>
            <w14:solidFill>
              <w14:schemeClr w14:val="tx1"/>
            </w14:solidFill>
          </w14:textFill>
        </w:rPr>
        <w:fldChar w:fldCharType="end"/>
      </w:r>
      <w:r>
        <w:rPr>
          <w:rFonts w:hint="eastAsia" w:ascii="黑体" w:hAnsi="黑体" w:eastAsia="黑体" w:cs="黑体"/>
          <w:color w:val="000000" w:themeColor="text1"/>
          <w:sz w:val="28"/>
          <w:szCs w:val="28"/>
          <w:lang w:val="en-US" w:eastAsia="zh-CN"/>
          <w14:textFill>
            <w14:solidFill>
              <w14:schemeClr w14:val="tx1"/>
            </w14:solidFill>
          </w14:textFill>
        </w:rPr>
        <w:t>5</w:t>
      </w:r>
    </w:p>
    <w:p>
      <w:pPr>
        <w:pStyle w:val="18"/>
        <w:tabs>
          <w:tab w:val="right" w:leader="dot" w:pos="8306"/>
        </w:tabs>
        <w:spacing w:line="420" w:lineRule="exact"/>
        <w:rPr>
          <w:rFonts w:hint="eastAsia" w:ascii="黑体" w:hAnsi="黑体" w:eastAsia="黑体" w:cs="黑体"/>
          <w:color w:val="000000" w:themeColor="text1"/>
          <w:sz w:val="28"/>
          <w:szCs w:val="28"/>
          <w:lang w:val="en-US" w:eastAsia="zh-CN"/>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"_Toc2745" </w:instrText>
      </w:r>
      <w:r>
        <w:rPr>
          <w:color w:val="000000" w:themeColor="text1"/>
          <w14:textFill>
            <w14:solidFill>
              <w14:schemeClr w14:val="tx1"/>
            </w14:solidFill>
          </w14:textFill>
        </w:rPr>
        <w:fldChar w:fldCharType="separate"/>
      </w:r>
      <w:r>
        <w:rPr>
          <w:rFonts w:hint="eastAsia" w:ascii="黑体" w:hAnsi="黑体" w:eastAsia="黑体" w:cs="黑体"/>
          <w:color w:val="000000" w:themeColor="text1"/>
          <w:sz w:val="28"/>
          <w:szCs w:val="28"/>
          <w14:textFill>
            <w14:solidFill>
              <w14:schemeClr w14:val="tx1"/>
            </w14:solidFill>
          </w14:textFill>
        </w:rPr>
        <w:t>十</w:t>
      </w:r>
      <w:r>
        <w:rPr>
          <w:rFonts w:hint="eastAsia" w:ascii="黑体" w:hAnsi="黑体" w:eastAsia="黑体" w:cs="黑体"/>
          <w:color w:val="000000" w:themeColor="text1"/>
          <w:sz w:val="28"/>
          <w:szCs w:val="28"/>
          <w:lang w:eastAsia="zh-CN"/>
          <w14:textFill>
            <w14:solidFill>
              <w14:schemeClr w14:val="tx1"/>
            </w14:solidFill>
          </w14:textFill>
        </w:rPr>
        <w:t>二</w:t>
      </w:r>
      <w:r>
        <w:rPr>
          <w:rFonts w:hint="eastAsia" w:ascii="黑体" w:hAnsi="黑体" w:eastAsia="黑体" w:cs="黑体"/>
          <w:color w:val="000000" w:themeColor="text1"/>
          <w:sz w:val="28"/>
          <w:szCs w:val="28"/>
          <w14:textFill>
            <w14:solidFill>
              <w14:schemeClr w14:val="tx1"/>
            </w14:solidFill>
          </w14:textFill>
        </w:rPr>
        <w:t>、聘用</w:t>
      </w:r>
      <w:r>
        <w:rPr>
          <w:rFonts w:ascii="黑体" w:hAnsi="黑体" w:eastAsia="黑体" w:cs="黑体"/>
          <w:color w:val="000000" w:themeColor="text1"/>
          <w:sz w:val="28"/>
          <w:szCs w:val="28"/>
          <w14:textFill>
            <w14:solidFill>
              <w14:schemeClr w14:val="tx1"/>
            </w14:solidFill>
          </w14:textFill>
        </w:rPr>
        <w:tab/>
      </w:r>
      <w:r>
        <w:rPr>
          <w:rFonts w:hint="eastAsia" w:ascii="黑体" w:hAnsi="黑体" w:eastAsia="黑体" w:cs="黑体"/>
          <w:color w:val="000000" w:themeColor="text1"/>
          <w:sz w:val="28"/>
          <w:szCs w:val="28"/>
          <w:lang w:val="en-US" w:eastAsia="zh-CN"/>
          <w14:textFill>
            <w14:solidFill>
              <w14:schemeClr w14:val="tx1"/>
            </w14:solidFill>
          </w14:textFill>
        </w:rPr>
        <w:t>1</w:t>
      </w:r>
      <w:r>
        <w:rPr>
          <w:rFonts w:ascii="黑体" w:hAnsi="黑体" w:eastAsia="黑体" w:cs="黑体"/>
          <w:color w:val="000000" w:themeColor="text1"/>
          <w:sz w:val="28"/>
          <w:szCs w:val="28"/>
          <w14:textFill>
            <w14:solidFill>
              <w14:schemeClr w14:val="tx1"/>
            </w14:solidFill>
          </w14:textFill>
        </w:rPr>
        <w:fldChar w:fldCharType="end"/>
      </w:r>
      <w:r>
        <w:rPr>
          <w:rFonts w:hint="eastAsia" w:ascii="黑体" w:hAnsi="黑体" w:eastAsia="黑体" w:cs="黑体"/>
          <w:color w:val="000000" w:themeColor="text1"/>
          <w:sz w:val="28"/>
          <w:szCs w:val="28"/>
          <w:lang w:val="en-US" w:eastAsia="zh-CN"/>
          <w14:textFill>
            <w14:solidFill>
              <w14:schemeClr w14:val="tx1"/>
            </w14:solidFill>
          </w14:textFill>
        </w:rPr>
        <w:t>5</w:t>
      </w:r>
    </w:p>
    <w:p>
      <w:pPr>
        <w:pStyle w:val="18"/>
        <w:tabs>
          <w:tab w:val="right" w:leader="dot" w:pos="8306"/>
        </w:tabs>
        <w:spacing w:line="420" w:lineRule="exact"/>
        <w:rPr>
          <w:rFonts w:hint="eastAsia" w:ascii="楷体" w:hAnsi="楷体" w:eastAsia="楷体" w:cs="楷体"/>
          <w:color w:val="000000" w:themeColor="text1"/>
          <w:sz w:val="28"/>
          <w:szCs w:val="28"/>
          <w:lang w:val="en-US" w:eastAsia="zh-CN"/>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"_Toc14984" </w:instrText>
      </w:r>
      <w:r>
        <w:rPr>
          <w:color w:val="000000" w:themeColor="text1"/>
          <w14:textFill>
            <w14:solidFill>
              <w14:schemeClr w14:val="tx1"/>
            </w14:solidFill>
          </w14:textFill>
        </w:rPr>
        <w:fldChar w:fldCharType="separate"/>
      </w:r>
      <w:r>
        <w:rPr>
          <w:rFonts w:hint="eastAsia" w:ascii="楷体" w:hAnsi="楷体" w:eastAsia="楷体" w:cs="楷体"/>
          <w:color w:val="000000" w:themeColor="text1"/>
          <w:sz w:val="28"/>
          <w:szCs w:val="28"/>
          <w14:textFill>
            <w14:solidFill>
              <w14:schemeClr w14:val="tx1"/>
            </w14:solidFill>
          </w14:textFill>
        </w:rPr>
        <w:t>（一）手续办理</w:t>
      </w:r>
      <w:r>
        <w:rPr>
          <w:rFonts w:ascii="楷体" w:hAnsi="楷体" w:eastAsia="楷体" w:cs="楷体"/>
          <w:color w:val="000000" w:themeColor="text1"/>
          <w:sz w:val="28"/>
          <w:szCs w:val="28"/>
          <w14:textFill>
            <w14:solidFill>
              <w14:schemeClr w14:val="tx1"/>
            </w14:solidFill>
          </w14:textFill>
        </w:rPr>
        <w:tab/>
      </w:r>
      <w:r>
        <w:rPr>
          <w:rFonts w:hint="eastAsia" w:ascii="楷体" w:hAnsi="楷体" w:eastAsia="楷体" w:cs="楷体"/>
          <w:color w:val="000000" w:themeColor="text1"/>
          <w:sz w:val="28"/>
          <w:szCs w:val="28"/>
          <w:lang w:val="en-US" w:eastAsia="zh-CN"/>
          <w14:textFill>
            <w14:solidFill>
              <w14:schemeClr w14:val="tx1"/>
            </w14:solidFill>
          </w14:textFill>
        </w:rPr>
        <w:t>1</w:t>
      </w:r>
      <w:r>
        <w:rPr>
          <w:rFonts w:ascii="楷体" w:hAnsi="楷体" w:eastAsia="楷体" w:cs="楷体"/>
          <w:color w:val="000000" w:themeColor="text1"/>
          <w:sz w:val="28"/>
          <w:szCs w:val="28"/>
          <w14:textFill>
            <w14:solidFill>
              <w14:schemeClr w14:val="tx1"/>
            </w14:solidFill>
          </w14:textFill>
        </w:rPr>
        <w:fldChar w:fldCharType="end"/>
      </w:r>
      <w:r>
        <w:rPr>
          <w:rFonts w:hint="eastAsia" w:ascii="楷体" w:hAnsi="楷体" w:eastAsia="楷体" w:cs="楷体"/>
          <w:color w:val="000000" w:themeColor="text1"/>
          <w:sz w:val="28"/>
          <w:szCs w:val="28"/>
          <w:lang w:val="en-US" w:eastAsia="zh-CN"/>
          <w14:textFill>
            <w14:solidFill>
              <w14:schemeClr w14:val="tx1"/>
            </w14:solidFill>
          </w14:textFill>
        </w:rPr>
        <w:t>5</w:t>
      </w:r>
    </w:p>
    <w:p>
      <w:pPr>
        <w:pStyle w:val="18"/>
        <w:tabs>
          <w:tab w:val="right" w:leader="dot" w:pos="8306"/>
        </w:tabs>
        <w:spacing w:line="420" w:lineRule="exact"/>
        <w:rPr>
          <w:rFonts w:hint="eastAsia" w:ascii="楷体" w:hAnsi="楷体" w:eastAsia="楷体" w:cs="楷体"/>
          <w:color w:val="000000" w:themeColor="text1"/>
          <w:sz w:val="28"/>
          <w:szCs w:val="28"/>
          <w:lang w:val="en-US" w:eastAsia="zh-CN"/>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"_Toc27370" </w:instrText>
      </w:r>
      <w:r>
        <w:rPr>
          <w:color w:val="000000" w:themeColor="text1"/>
          <w14:textFill>
            <w14:solidFill>
              <w14:schemeClr w14:val="tx1"/>
            </w14:solidFill>
          </w14:textFill>
        </w:rPr>
        <w:fldChar w:fldCharType="separate"/>
      </w:r>
      <w:r>
        <w:rPr>
          <w:rFonts w:hint="eastAsia" w:ascii="楷体" w:hAnsi="楷体" w:eastAsia="楷体" w:cs="楷体"/>
          <w:color w:val="000000" w:themeColor="text1"/>
          <w:sz w:val="28"/>
          <w:szCs w:val="28"/>
          <w14:textFill>
            <w14:solidFill>
              <w14:schemeClr w14:val="tx1"/>
            </w14:solidFill>
          </w14:textFill>
        </w:rPr>
        <w:t>（二）岗位聘任</w:t>
      </w:r>
      <w:r>
        <w:rPr>
          <w:rFonts w:ascii="楷体" w:hAnsi="楷体" w:eastAsia="楷体" w:cs="楷体"/>
          <w:color w:val="000000" w:themeColor="text1"/>
          <w:sz w:val="28"/>
          <w:szCs w:val="28"/>
          <w14:textFill>
            <w14:solidFill>
              <w14:schemeClr w14:val="tx1"/>
            </w14:solidFill>
          </w14:textFill>
        </w:rPr>
        <w:tab/>
      </w:r>
      <w:r>
        <w:rPr>
          <w:rFonts w:hint="eastAsia" w:ascii="楷体" w:hAnsi="楷体" w:eastAsia="楷体" w:cs="楷体"/>
          <w:color w:val="000000" w:themeColor="text1"/>
          <w:sz w:val="28"/>
          <w:szCs w:val="28"/>
          <w:lang w:val="en-US" w:eastAsia="zh-CN"/>
          <w14:textFill>
            <w14:solidFill>
              <w14:schemeClr w14:val="tx1"/>
            </w14:solidFill>
          </w14:textFill>
        </w:rPr>
        <w:t>1</w:t>
      </w:r>
      <w:r>
        <w:rPr>
          <w:rFonts w:ascii="楷体" w:hAnsi="楷体" w:eastAsia="楷体" w:cs="楷体"/>
          <w:color w:val="000000" w:themeColor="text1"/>
          <w:sz w:val="28"/>
          <w:szCs w:val="28"/>
          <w14:textFill>
            <w14:solidFill>
              <w14:schemeClr w14:val="tx1"/>
            </w14:solidFill>
          </w14:textFill>
        </w:rPr>
        <w:fldChar w:fldCharType="end"/>
      </w:r>
      <w:r>
        <w:rPr>
          <w:rFonts w:hint="eastAsia" w:ascii="楷体" w:hAnsi="楷体" w:eastAsia="楷体" w:cs="楷体"/>
          <w:color w:val="000000" w:themeColor="text1"/>
          <w:sz w:val="28"/>
          <w:szCs w:val="28"/>
          <w:lang w:val="en-US" w:eastAsia="zh-CN"/>
          <w14:textFill>
            <w14:solidFill>
              <w14:schemeClr w14:val="tx1"/>
            </w14:solidFill>
          </w14:textFill>
        </w:rPr>
        <w:t>6</w:t>
      </w:r>
    </w:p>
    <w:p>
      <w:pPr>
        <w:pStyle w:val="18"/>
        <w:tabs>
          <w:tab w:val="right" w:leader="dot" w:pos="8306"/>
        </w:tabs>
        <w:spacing w:line="420" w:lineRule="exact"/>
        <w:rPr>
          <w:rFonts w:hint="eastAsia" w:ascii="黑体" w:hAnsi="黑体" w:eastAsia="黑体" w:cs="黑体"/>
          <w:color w:val="000000" w:themeColor="text1"/>
          <w:sz w:val="28"/>
          <w:szCs w:val="28"/>
          <w:lang w:val="en-US" w:eastAsia="zh-CN"/>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"_Toc5705" </w:instrText>
      </w:r>
      <w:r>
        <w:rPr>
          <w:color w:val="000000" w:themeColor="text1"/>
          <w14:textFill>
            <w14:solidFill>
              <w14:schemeClr w14:val="tx1"/>
            </w14:solidFill>
          </w14:textFill>
        </w:rPr>
        <w:fldChar w:fldCharType="separate"/>
      </w:r>
      <w:r>
        <w:rPr>
          <w:rFonts w:hint="eastAsia" w:ascii="黑体" w:hAnsi="黑体" w:eastAsia="黑体" w:cs="黑体"/>
          <w:color w:val="000000" w:themeColor="text1"/>
          <w:sz w:val="28"/>
          <w:szCs w:val="28"/>
          <w14:textFill>
            <w14:solidFill>
              <w14:schemeClr w14:val="tx1"/>
            </w14:solidFill>
          </w14:textFill>
        </w:rPr>
        <w:t>十</w:t>
      </w:r>
      <w:r>
        <w:rPr>
          <w:rFonts w:hint="eastAsia" w:ascii="黑体" w:hAnsi="黑体" w:eastAsia="黑体" w:cs="黑体"/>
          <w:color w:val="000000" w:themeColor="text1"/>
          <w:sz w:val="28"/>
          <w:szCs w:val="28"/>
          <w:lang w:eastAsia="zh-CN"/>
          <w14:textFill>
            <w14:solidFill>
              <w14:schemeClr w14:val="tx1"/>
            </w14:solidFill>
          </w14:textFill>
        </w:rPr>
        <w:t>三</w:t>
      </w:r>
      <w:r>
        <w:rPr>
          <w:rFonts w:hint="eastAsia" w:ascii="黑体" w:hAnsi="黑体" w:eastAsia="黑体" w:cs="黑体"/>
          <w:color w:val="000000" w:themeColor="text1"/>
          <w:sz w:val="28"/>
          <w:szCs w:val="28"/>
          <w14:textFill>
            <w14:solidFill>
              <w14:schemeClr w14:val="tx1"/>
            </w14:solidFill>
          </w14:textFill>
        </w:rPr>
        <w:t>、其他事项</w:t>
      </w:r>
      <w:r>
        <w:rPr>
          <w:rFonts w:ascii="黑体" w:hAnsi="黑体" w:eastAsia="黑体" w:cs="黑体"/>
          <w:color w:val="000000" w:themeColor="text1"/>
          <w:sz w:val="28"/>
          <w:szCs w:val="28"/>
          <w14:textFill>
            <w14:solidFill>
              <w14:schemeClr w14:val="tx1"/>
            </w14:solidFill>
          </w14:textFill>
        </w:rPr>
        <w:tab/>
      </w:r>
      <w:r>
        <w:rPr>
          <w:rFonts w:hint="eastAsia" w:ascii="黑体" w:hAnsi="黑体" w:eastAsia="黑体" w:cs="黑体"/>
          <w:color w:val="000000" w:themeColor="text1"/>
          <w:sz w:val="28"/>
          <w:szCs w:val="28"/>
          <w:lang w:val="en-US" w:eastAsia="zh-CN"/>
          <w14:textFill>
            <w14:solidFill>
              <w14:schemeClr w14:val="tx1"/>
            </w14:solidFill>
          </w14:textFill>
        </w:rPr>
        <w:t>1</w:t>
      </w:r>
      <w:r>
        <w:rPr>
          <w:rFonts w:ascii="黑体" w:hAnsi="黑体" w:eastAsia="黑体" w:cs="黑体"/>
          <w:color w:val="000000" w:themeColor="text1"/>
          <w:sz w:val="28"/>
          <w:szCs w:val="28"/>
          <w14:textFill>
            <w14:solidFill>
              <w14:schemeClr w14:val="tx1"/>
            </w14:solidFill>
          </w14:textFill>
        </w:rPr>
        <w:fldChar w:fldCharType="end"/>
      </w:r>
      <w:r>
        <w:rPr>
          <w:rFonts w:hint="eastAsia" w:ascii="黑体" w:hAnsi="黑体" w:eastAsia="黑体" w:cs="黑体"/>
          <w:color w:val="000000" w:themeColor="text1"/>
          <w:sz w:val="28"/>
          <w:szCs w:val="28"/>
          <w:lang w:val="en-US" w:eastAsia="zh-CN"/>
          <w14:textFill>
            <w14:solidFill>
              <w14:schemeClr w14:val="tx1"/>
            </w14:solidFill>
          </w14:textFill>
        </w:rPr>
        <w:t>6</w:t>
      </w:r>
    </w:p>
    <w:p>
      <w:pPr>
        <w:pStyle w:val="18"/>
        <w:tabs>
          <w:tab w:val="right" w:leader="dot" w:pos="8306"/>
        </w:tabs>
        <w:spacing w:line="420" w:lineRule="exact"/>
        <w:rPr>
          <w:rFonts w:hint="eastAsia" w:ascii="楷体" w:hAnsi="楷体" w:eastAsia="楷体" w:cs="楷体"/>
          <w:color w:val="000000" w:themeColor="text1"/>
          <w:sz w:val="28"/>
          <w:szCs w:val="28"/>
          <w:lang w:val="en-US" w:eastAsia="zh-CN"/>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"_Toc10955" </w:instrText>
      </w:r>
      <w:r>
        <w:rPr>
          <w:color w:val="000000" w:themeColor="text1"/>
          <w14:textFill>
            <w14:solidFill>
              <w14:schemeClr w14:val="tx1"/>
            </w14:solidFill>
          </w14:textFill>
        </w:rPr>
        <w:fldChar w:fldCharType="separate"/>
      </w:r>
      <w:r>
        <w:rPr>
          <w:rFonts w:hint="eastAsia" w:ascii="楷体" w:hAnsi="楷体" w:eastAsia="楷体" w:cs="楷体"/>
          <w:color w:val="000000" w:themeColor="text1"/>
          <w:sz w:val="28"/>
          <w:szCs w:val="28"/>
          <w14:textFill>
            <w14:solidFill>
              <w14:schemeClr w14:val="tx1"/>
            </w14:solidFill>
          </w14:textFill>
        </w:rPr>
        <w:t>（一）中共党员</w:t>
      </w:r>
      <w:r>
        <w:rPr>
          <w:rFonts w:ascii="楷体" w:hAnsi="楷体" w:eastAsia="楷体" w:cs="楷体"/>
          <w:color w:val="000000" w:themeColor="text1"/>
          <w:sz w:val="28"/>
          <w:szCs w:val="28"/>
          <w14:textFill>
            <w14:solidFill>
              <w14:schemeClr w14:val="tx1"/>
            </w14:solidFill>
          </w14:textFill>
        </w:rPr>
        <w:tab/>
      </w:r>
      <w:r>
        <w:rPr>
          <w:rFonts w:hint="eastAsia" w:ascii="楷体" w:hAnsi="楷体" w:eastAsia="楷体" w:cs="楷体"/>
          <w:color w:val="000000" w:themeColor="text1"/>
          <w:sz w:val="28"/>
          <w:szCs w:val="28"/>
          <w:lang w:val="en-US" w:eastAsia="zh-CN"/>
          <w14:textFill>
            <w14:solidFill>
              <w14:schemeClr w14:val="tx1"/>
            </w14:solidFill>
          </w14:textFill>
        </w:rPr>
        <w:t>1</w:t>
      </w:r>
      <w:r>
        <w:rPr>
          <w:rFonts w:ascii="楷体" w:hAnsi="楷体" w:eastAsia="楷体" w:cs="楷体"/>
          <w:color w:val="000000" w:themeColor="text1"/>
          <w:sz w:val="28"/>
          <w:szCs w:val="28"/>
          <w14:textFill>
            <w14:solidFill>
              <w14:schemeClr w14:val="tx1"/>
            </w14:solidFill>
          </w14:textFill>
        </w:rPr>
        <w:fldChar w:fldCharType="end"/>
      </w:r>
      <w:r>
        <w:rPr>
          <w:rFonts w:hint="eastAsia" w:ascii="楷体" w:hAnsi="楷体" w:eastAsia="楷体" w:cs="楷体"/>
          <w:color w:val="000000" w:themeColor="text1"/>
          <w:sz w:val="28"/>
          <w:szCs w:val="28"/>
          <w:lang w:val="en-US" w:eastAsia="zh-CN"/>
          <w14:textFill>
            <w14:solidFill>
              <w14:schemeClr w14:val="tx1"/>
            </w14:solidFill>
          </w14:textFill>
        </w:rPr>
        <w:t>6</w:t>
      </w:r>
    </w:p>
    <w:p>
      <w:pPr>
        <w:pStyle w:val="18"/>
        <w:tabs>
          <w:tab w:val="right" w:leader="dot" w:pos="8306"/>
        </w:tabs>
        <w:spacing w:line="420" w:lineRule="exact"/>
        <w:rPr>
          <w:rFonts w:hint="eastAsia" w:ascii="楷体" w:hAnsi="楷体" w:eastAsia="楷体" w:cs="楷体"/>
          <w:color w:val="000000" w:themeColor="text1"/>
          <w:sz w:val="28"/>
          <w:szCs w:val="28"/>
          <w:lang w:val="en-US" w:eastAsia="zh-CN"/>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"_Toc1238" </w:instrText>
      </w:r>
      <w:r>
        <w:rPr>
          <w:color w:val="000000" w:themeColor="text1"/>
          <w14:textFill>
            <w14:solidFill>
              <w14:schemeClr w14:val="tx1"/>
            </w14:solidFill>
          </w14:textFill>
        </w:rPr>
        <w:fldChar w:fldCharType="separate"/>
      </w:r>
      <w:r>
        <w:rPr>
          <w:rFonts w:hint="eastAsia" w:ascii="楷体" w:hAnsi="楷体" w:eastAsia="楷体" w:cs="楷体"/>
          <w:color w:val="000000" w:themeColor="text1"/>
          <w:sz w:val="28"/>
          <w:szCs w:val="28"/>
          <w14:textFill>
            <w14:solidFill>
              <w14:schemeClr w14:val="tx1"/>
            </w14:solidFill>
          </w14:textFill>
        </w:rPr>
        <w:t>（二）职称</w:t>
      </w:r>
      <w:r>
        <w:rPr>
          <w:rFonts w:ascii="楷体" w:hAnsi="楷体" w:eastAsia="楷体" w:cs="楷体"/>
          <w:color w:val="000000" w:themeColor="text1"/>
          <w:sz w:val="28"/>
          <w:szCs w:val="28"/>
          <w14:textFill>
            <w14:solidFill>
              <w14:schemeClr w14:val="tx1"/>
            </w14:solidFill>
          </w14:textFill>
        </w:rPr>
        <w:tab/>
      </w:r>
      <w:r>
        <w:rPr>
          <w:rFonts w:hint="eastAsia" w:ascii="楷体" w:hAnsi="楷体" w:eastAsia="楷体" w:cs="楷体"/>
          <w:color w:val="000000" w:themeColor="text1"/>
          <w:sz w:val="28"/>
          <w:szCs w:val="28"/>
          <w:lang w:val="en-US" w:eastAsia="zh-CN"/>
          <w14:textFill>
            <w14:solidFill>
              <w14:schemeClr w14:val="tx1"/>
            </w14:solidFill>
          </w14:textFill>
        </w:rPr>
        <w:t>1</w:t>
      </w:r>
      <w:r>
        <w:rPr>
          <w:rFonts w:ascii="楷体" w:hAnsi="楷体" w:eastAsia="楷体" w:cs="楷体"/>
          <w:color w:val="000000" w:themeColor="text1"/>
          <w:sz w:val="28"/>
          <w:szCs w:val="28"/>
          <w14:textFill>
            <w14:solidFill>
              <w14:schemeClr w14:val="tx1"/>
            </w14:solidFill>
          </w14:textFill>
        </w:rPr>
        <w:fldChar w:fldCharType="end"/>
      </w:r>
      <w:r>
        <w:rPr>
          <w:rFonts w:hint="eastAsia" w:ascii="楷体" w:hAnsi="楷体" w:eastAsia="楷体" w:cs="楷体"/>
          <w:color w:val="000000" w:themeColor="text1"/>
          <w:sz w:val="28"/>
          <w:szCs w:val="28"/>
          <w:lang w:val="en-US" w:eastAsia="zh-CN"/>
          <w14:textFill>
            <w14:solidFill>
              <w14:schemeClr w14:val="tx1"/>
            </w14:solidFill>
          </w14:textFill>
        </w:rPr>
        <w:t>6</w:t>
      </w:r>
    </w:p>
    <w:p>
      <w:pPr>
        <w:pStyle w:val="18"/>
        <w:tabs>
          <w:tab w:val="right" w:leader="dot" w:pos="8306"/>
        </w:tabs>
        <w:spacing w:line="420" w:lineRule="exact"/>
        <w:rPr>
          <w:rFonts w:hint="eastAsia" w:ascii="楷体" w:hAnsi="楷体" w:eastAsia="楷体" w:cs="楷体"/>
          <w:color w:val="000000" w:themeColor="text1"/>
          <w:sz w:val="28"/>
          <w:szCs w:val="28"/>
          <w:lang w:val="en-US" w:eastAsia="zh-CN"/>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"_Toc23989" </w:instrText>
      </w:r>
      <w:r>
        <w:rPr>
          <w:color w:val="000000" w:themeColor="text1"/>
          <w14:textFill>
            <w14:solidFill>
              <w14:schemeClr w14:val="tx1"/>
            </w14:solidFill>
          </w14:textFill>
        </w:rPr>
        <w:fldChar w:fldCharType="separate"/>
      </w:r>
      <w:r>
        <w:rPr>
          <w:rFonts w:hint="eastAsia" w:ascii="楷体" w:hAnsi="楷体" w:eastAsia="楷体" w:cs="楷体"/>
          <w:color w:val="000000" w:themeColor="text1"/>
          <w:sz w:val="28"/>
          <w:szCs w:val="28"/>
          <w14:textFill>
            <w14:solidFill>
              <w14:schemeClr w14:val="tx1"/>
            </w14:solidFill>
          </w14:textFill>
        </w:rPr>
        <w:t>（三）规范化培训</w:t>
      </w:r>
      <w:r>
        <w:rPr>
          <w:rFonts w:ascii="楷体" w:hAnsi="楷体" w:eastAsia="楷体" w:cs="楷体"/>
          <w:color w:val="000000" w:themeColor="text1"/>
          <w:sz w:val="28"/>
          <w:szCs w:val="28"/>
          <w14:textFill>
            <w14:solidFill>
              <w14:schemeClr w14:val="tx1"/>
            </w14:solidFill>
          </w14:textFill>
        </w:rPr>
        <w:tab/>
      </w:r>
      <w:r>
        <w:rPr>
          <w:rFonts w:hint="eastAsia" w:ascii="楷体" w:hAnsi="楷体" w:eastAsia="楷体" w:cs="楷体"/>
          <w:color w:val="000000" w:themeColor="text1"/>
          <w:sz w:val="28"/>
          <w:szCs w:val="28"/>
          <w:lang w:val="en-US" w:eastAsia="zh-CN"/>
          <w14:textFill>
            <w14:solidFill>
              <w14:schemeClr w14:val="tx1"/>
            </w14:solidFill>
          </w14:textFill>
        </w:rPr>
        <w:t>1</w:t>
      </w:r>
      <w:r>
        <w:rPr>
          <w:rFonts w:ascii="楷体" w:hAnsi="楷体" w:eastAsia="楷体" w:cs="楷体"/>
          <w:color w:val="000000" w:themeColor="text1"/>
          <w:sz w:val="28"/>
          <w:szCs w:val="28"/>
          <w14:textFill>
            <w14:solidFill>
              <w14:schemeClr w14:val="tx1"/>
            </w14:solidFill>
          </w14:textFill>
        </w:rPr>
        <w:fldChar w:fldCharType="end"/>
      </w:r>
      <w:r>
        <w:rPr>
          <w:rFonts w:hint="eastAsia" w:ascii="楷体" w:hAnsi="楷体" w:eastAsia="楷体" w:cs="楷体"/>
          <w:color w:val="000000" w:themeColor="text1"/>
          <w:sz w:val="28"/>
          <w:szCs w:val="28"/>
          <w:lang w:val="en-US" w:eastAsia="zh-CN"/>
          <w14:textFill>
            <w14:solidFill>
              <w14:schemeClr w14:val="tx1"/>
            </w14:solidFill>
          </w14:textFill>
        </w:rPr>
        <w:t>7</w:t>
      </w:r>
    </w:p>
    <w:p>
      <w:pPr>
        <w:pStyle w:val="18"/>
        <w:tabs>
          <w:tab w:val="right" w:leader="dot" w:pos="8306"/>
        </w:tabs>
        <w:spacing w:line="420" w:lineRule="exact"/>
        <w:rPr>
          <w:rFonts w:hint="eastAsia" w:ascii="楷体" w:hAnsi="楷体" w:eastAsia="楷体" w:cs="楷体"/>
          <w:color w:val="000000" w:themeColor="text1"/>
          <w:sz w:val="28"/>
          <w:szCs w:val="28"/>
          <w:lang w:val="en-US" w:eastAsia="zh-CN"/>
          <w14:textFill>
            <w14:solidFill>
              <w14:schemeClr w14:val="tx1"/>
            </w14:solidFill>
          </w14:textFill>
        </w:rPr>
      </w:pPr>
      <w:r>
        <w:rPr>
          <w:rFonts w:hint="eastAsia" w:ascii="楷体" w:hAnsi="楷体" w:eastAsia="楷体" w:cs="楷体"/>
          <w:color w:val="000000" w:themeColor="text1"/>
          <w:sz w:val="28"/>
          <w:szCs w:val="28"/>
          <w:u w:val="none"/>
          <w14:textFill>
            <w14:solidFill>
              <w14:schemeClr w14:val="tx1"/>
            </w14:solidFill>
          </w14:textFill>
        </w:rPr>
        <w:fldChar w:fldCharType="begin"/>
      </w:r>
      <w:r>
        <w:rPr>
          <w:rFonts w:hint="eastAsia" w:ascii="楷体" w:hAnsi="楷体" w:eastAsia="楷体" w:cs="楷体"/>
          <w:color w:val="000000" w:themeColor="text1"/>
          <w:sz w:val="28"/>
          <w:szCs w:val="28"/>
          <w:u w:val="none"/>
          <w14:textFill>
            <w14:solidFill>
              <w14:schemeClr w14:val="tx1"/>
            </w14:solidFill>
          </w14:textFill>
        </w:rPr>
        <w:instrText xml:space="preserve"> HYPERLINK \l "_（四）应届高校毕业生" </w:instrText>
      </w:r>
      <w:r>
        <w:rPr>
          <w:rFonts w:hint="eastAsia" w:ascii="楷体" w:hAnsi="楷体" w:eastAsia="楷体" w:cs="楷体"/>
          <w:color w:val="000000" w:themeColor="text1"/>
          <w:sz w:val="28"/>
          <w:szCs w:val="28"/>
          <w:u w:val="none"/>
          <w14:textFill>
            <w14:solidFill>
              <w14:schemeClr w14:val="tx1"/>
            </w14:solidFill>
          </w14:textFill>
        </w:rPr>
        <w:fldChar w:fldCharType="separate"/>
      </w:r>
      <w:r>
        <w:rPr>
          <w:rStyle w:val="11"/>
          <w:rFonts w:hint="eastAsia" w:ascii="楷体" w:hAnsi="楷体" w:eastAsia="楷体" w:cs="楷体"/>
          <w:color w:val="000000" w:themeColor="text1"/>
          <w:sz w:val="28"/>
          <w:szCs w:val="28"/>
          <w14:textFill>
            <w14:solidFill>
              <w14:schemeClr w14:val="tx1"/>
            </w14:solidFill>
          </w14:textFill>
        </w:rPr>
        <w:t>（四）应届高校毕业生</w:t>
      </w:r>
      <w:r>
        <w:rPr>
          <w:rStyle w:val="11"/>
          <w:rFonts w:hint="eastAsia" w:ascii="楷体" w:hAnsi="楷体" w:eastAsia="楷体" w:cs="楷体"/>
          <w:color w:val="000000" w:themeColor="text1"/>
          <w:sz w:val="28"/>
          <w:szCs w:val="28"/>
          <w14:textFill>
            <w14:solidFill>
              <w14:schemeClr w14:val="tx1"/>
            </w14:solidFill>
          </w14:textFill>
        </w:rPr>
        <w:tab/>
      </w:r>
      <w:r>
        <w:rPr>
          <w:rStyle w:val="11"/>
          <w:rFonts w:hint="eastAsia" w:ascii="楷体" w:hAnsi="楷体" w:eastAsia="楷体" w:cs="楷体"/>
          <w:color w:val="000000" w:themeColor="text1"/>
          <w:sz w:val="28"/>
          <w:szCs w:val="28"/>
          <w:lang w:val="en-US" w:eastAsia="zh-CN"/>
          <w14:textFill>
            <w14:solidFill>
              <w14:schemeClr w14:val="tx1"/>
            </w14:solidFill>
          </w14:textFill>
        </w:rPr>
        <w:t>1</w:t>
      </w:r>
      <w:r>
        <w:rPr>
          <w:rFonts w:hint="eastAsia" w:ascii="楷体" w:hAnsi="楷体" w:eastAsia="楷体" w:cs="楷体"/>
          <w:color w:val="000000" w:themeColor="text1"/>
          <w:sz w:val="28"/>
          <w:szCs w:val="28"/>
          <w:u w:val="none"/>
          <w14:textFill>
            <w14:solidFill>
              <w14:schemeClr w14:val="tx1"/>
            </w14:solidFill>
          </w14:textFill>
        </w:rPr>
        <w:fldChar w:fldCharType="end"/>
      </w:r>
      <w:r>
        <w:rPr>
          <w:rFonts w:hint="eastAsia" w:ascii="楷体" w:hAnsi="楷体" w:eastAsia="楷体" w:cs="楷体"/>
          <w:color w:val="000000" w:themeColor="text1"/>
          <w:sz w:val="28"/>
          <w:szCs w:val="28"/>
          <w:u w:val="none"/>
          <w:lang w:val="en-US" w:eastAsia="zh-CN"/>
          <w14:textFill>
            <w14:solidFill>
              <w14:schemeClr w14:val="tx1"/>
            </w14:solidFill>
          </w14:textFill>
        </w:rPr>
        <w:t>8</w:t>
      </w:r>
    </w:p>
    <w:p>
      <w:pPr>
        <w:pStyle w:val="18"/>
        <w:tabs>
          <w:tab w:val="right" w:leader="dot" w:pos="8306"/>
        </w:tabs>
        <w:spacing w:line="420" w:lineRule="exact"/>
        <w:rPr>
          <w:rFonts w:hint="eastAsia" w:ascii="楷体" w:hAnsi="楷体" w:eastAsia="楷体" w:cs="楷体"/>
          <w:color w:val="000000" w:themeColor="text1"/>
          <w:sz w:val="28"/>
          <w:szCs w:val="28"/>
          <w:lang w:val="en-US" w:eastAsia="zh-CN"/>
          <w14:textFill>
            <w14:solidFill>
              <w14:schemeClr w14:val="tx1"/>
            </w14:solidFill>
          </w14:textFill>
        </w:rPr>
      </w:pPr>
      <w:r>
        <w:rPr>
          <w:rFonts w:hint="eastAsia" w:ascii="楷体" w:hAnsi="楷体" w:eastAsia="楷体" w:cs="楷体"/>
          <w:color w:val="000000" w:themeColor="text1"/>
          <w:sz w:val="28"/>
          <w:szCs w:val="28"/>
          <w:u w:val="none"/>
          <w14:textFill>
            <w14:solidFill>
              <w14:schemeClr w14:val="tx1"/>
            </w14:solidFill>
          </w14:textFill>
        </w:rPr>
        <w:fldChar w:fldCharType="begin"/>
      </w:r>
      <w:r>
        <w:rPr>
          <w:rFonts w:hint="eastAsia" w:ascii="楷体" w:hAnsi="楷体" w:eastAsia="楷体" w:cs="楷体"/>
          <w:color w:val="000000" w:themeColor="text1"/>
          <w:sz w:val="28"/>
          <w:szCs w:val="28"/>
          <w:u w:val="none"/>
          <w14:textFill>
            <w14:solidFill>
              <w14:schemeClr w14:val="tx1"/>
            </w14:solidFill>
          </w14:textFill>
        </w:rPr>
        <w:instrText xml:space="preserve"> HYPERLINK \l "_（五）生源" </w:instrText>
      </w:r>
      <w:r>
        <w:rPr>
          <w:rFonts w:hint="eastAsia" w:ascii="楷体" w:hAnsi="楷体" w:eastAsia="楷体" w:cs="楷体"/>
          <w:color w:val="000000" w:themeColor="text1"/>
          <w:sz w:val="28"/>
          <w:szCs w:val="28"/>
          <w:u w:val="none"/>
          <w14:textFill>
            <w14:solidFill>
              <w14:schemeClr w14:val="tx1"/>
            </w14:solidFill>
          </w14:textFill>
        </w:rPr>
        <w:fldChar w:fldCharType="separate"/>
      </w:r>
      <w:r>
        <w:rPr>
          <w:rStyle w:val="11"/>
          <w:rFonts w:hint="eastAsia" w:ascii="楷体" w:hAnsi="楷体" w:eastAsia="楷体" w:cs="楷体"/>
          <w:color w:val="000000" w:themeColor="text1"/>
          <w:sz w:val="28"/>
          <w:szCs w:val="28"/>
          <w14:textFill>
            <w14:solidFill>
              <w14:schemeClr w14:val="tx1"/>
            </w14:solidFill>
          </w14:textFill>
        </w:rPr>
        <w:t>（五）生源</w:t>
      </w:r>
      <w:r>
        <w:rPr>
          <w:rStyle w:val="11"/>
          <w:rFonts w:ascii="楷体" w:hAnsi="楷体" w:eastAsia="楷体" w:cs="楷体"/>
          <w:color w:val="000000" w:themeColor="text1"/>
          <w:sz w:val="28"/>
          <w:szCs w:val="28"/>
          <w14:textFill>
            <w14:solidFill>
              <w14:schemeClr w14:val="tx1"/>
            </w14:solidFill>
          </w14:textFill>
        </w:rPr>
        <w:tab/>
      </w:r>
      <w:r>
        <w:rPr>
          <w:rStyle w:val="11"/>
          <w:rFonts w:hint="eastAsia" w:ascii="楷体" w:hAnsi="楷体" w:eastAsia="楷体" w:cs="楷体"/>
          <w:color w:val="000000" w:themeColor="text1"/>
          <w:sz w:val="28"/>
          <w:szCs w:val="28"/>
          <w:lang w:val="en-US" w:eastAsia="zh-CN"/>
          <w14:textFill>
            <w14:solidFill>
              <w14:schemeClr w14:val="tx1"/>
            </w14:solidFill>
          </w14:textFill>
        </w:rPr>
        <w:t>19</w:t>
      </w:r>
      <w:r>
        <w:rPr>
          <w:rFonts w:hint="eastAsia" w:ascii="楷体" w:hAnsi="楷体" w:eastAsia="楷体" w:cs="楷体"/>
          <w:color w:val="000000" w:themeColor="text1"/>
          <w:sz w:val="28"/>
          <w:szCs w:val="28"/>
          <w:u w:val="none"/>
          <w14:textFill>
            <w14:solidFill>
              <w14:schemeClr w14:val="tx1"/>
            </w14:solidFill>
          </w14:textFill>
        </w:rPr>
        <w:fldChar w:fldCharType="end"/>
      </w:r>
    </w:p>
    <w:p>
      <w:pPr>
        <w:pStyle w:val="18"/>
        <w:tabs>
          <w:tab w:val="right" w:leader="dot" w:pos="8306"/>
        </w:tabs>
        <w:spacing w:line="420" w:lineRule="exact"/>
        <w:rPr>
          <w:rFonts w:hint="eastAsia" w:ascii="楷体" w:hAnsi="楷体" w:eastAsia="楷体" w:cs="楷体"/>
          <w:color w:val="000000" w:themeColor="text1"/>
          <w:sz w:val="28"/>
          <w:szCs w:val="28"/>
          <w:lang w:val="en-US" w:eastAsia="zh-CN"/>
          <w14:textFill>
            <w14:solidFill>
              <w14:schemeClr w14:val="tx1"/>
            </w14:solidFill>
          </w14:textFill>
        </w:rPr>
      </w:pPr>
      <w:r>
        <w:rPr>
          <w:rFonts w:hint="eastAsia" w:ascii="楷体" w:hAnsi="楷体" w:eastAsia="楷体" w:cs="楷体"/>
          <w:color w:val="000000" w:themeColor="text1"/>
          <w:sz w:val="28"/>
          <w:szCs w:val="28"/>
          <w:u w:val="none"/>
          <w14:textFill>
            <w14:solidFill>
              <w14:schemeClr w14:val="tx1"/>
            </w14:solidFill>
          </w14:textFill>
        </w:rPr>
        <w:fldChar w:fldCharType="begin"/>
      </w:r>
      <w:r>
        <w:rPr>
          <w:rFonts w:hint="eastAsia" w:ascii="楷体" w:hAnsi="楷体" w:eastAsia="楷体" w:cs="楷体"/>
          <w:color w:val="000000" w:themeColor="text1"/>
          <w:sz w:val="28"/>
          <w:szCs w:val="28"/>
          <w:u w:val="none"/>
          <w14:textFill>
            <w14:solidFill>
              <w14:schemeClr w14:val="tx1"/>
            </w14:solidFill>
          </w14:textFill>
        </w:rPr>
        <w:instrText xml:space="preserve"> HYPERLINK \l "_（六）港澳台人员" </w:instrText>
      </w:r>
      <w:r>
        <w:rPr>
          <w:rFonts w:hint="eastAsia" w:ascii="楷体" w:hAnsi="楷体" w:eastAsia="楷体" w:cs="楷体"/>
          <w:color w:val="000000" w:themeColor="text1"/>
          <w:sz w:val="28"/>
          <w:szCs w:val="28"/>
          <w:u w:val="none"/>
          <w14:textFill>
            <w14:solidFill>
              <w14:schemeClr w14:val="tx1"/>
            </w14:solidFill>
          </w14:textFill>
        </w:rPr>
        <w:fldChar w:fldCharType="separate"/>
      </w:r>
      <w:r>
        <w:rPr>
          <w:rStyle w:val="11"/>
          <w:rFonts w:hint="eastAsia" w:ascii="楷体" w:hAnsi="楷体" w:eastAsia="楷体" w:cs="楷体"/>
          <w:color w:val="000000" w:themeColor="text1"/>
          <w:sz w:val="28"/>
          <w:szCs w:val="28"/>
          <w14:textFill>
            <w14:solidFill>
              <w14:schemeClr w14:val="tx1"/>
            </w14:solidFill>
          </w14:textFill>
        </w:rPr>
        <w:t>（六）港澳台人员</w:t>
      </w:r>
      <w:r>
        <w:rPr>
          <w:rStyle w:val="11"/>
          <w:rFonts w:ascii="楷体" w:hAnsi="楷体" w:eastAsia="楷体" w:cs="楷体"/>
          <w:color w:val="000000" w:themeColor="text1"/>
          <w:sz w:val="28"/>
          <w:szCs w:val="28"/>
          <w14:textFill>
            <w14:solidFill>
              <w14:schemeClr w14:val="tx1"/>
            </w14:solidFill>
          </w14:textFill>
        </w:rPr>
        <w:tab/>
      </w:r>
      <w:r>
        <w:rPr>
          <w:rStyle w:val="11"/>
          <w:rFonts w:hint="eastAsia" w:ascii="楷体" w:hAnsi="楷体" w:eastAsia="楷体" w:cs="楷体"/>
          <w:color w:val="000000" w:themeColor="text1"/>
          <w:sz w:val="28"/>
          <w:szCs w:val="28"/>
          <w:lang w:val="en-US" w:eastAsia="zh-CN"/>
          <w14:textFill>
            <w14:solidFill>
              <w14:schemeClr w14:val="tx1"/>
            </w14:solidFill>
          </w14:textFill>
        </w:rPr>
        <w:t>19</w:t>
      </w:r>
      <w:r>
        <w:rPr>
          <w:rFonts w:hint="eastAsia" w:ascii="楷体" w:hAnsi="楷体" w:eastAsia="楷体" w:cs="楷体"/>
          <w:color w:val="000000" w:themeColor="text1"/>
          <w:sz w:val="28"/>
          <w:szCs w:val="28"/>
          <w:u w:val="none"/>
          <w14:textFill>
            <w14:solidFill>
              <w14:schemeClr w14:val="tx1"/>
            </w14:solidFill>
          </w14:textFill>
        </w:rPr>
        <w:fldChar w:fldCharType="end"/>
      </w:r>
    </w:p>
    <w:p>
      <w:pPr>
        <w:pStyle w:val="18"/>
        <w:tabs>
          <w:tab w:val="right" w:leader="dot" w:pos="8306"/>
        </w:tabs>
        <w:spacing w:line="420" w:lineRule="exact"/>
        <w:rPr>
          <w:rFonts w:hint="eastAsia" w:ascii="楷体" w:hAnsi="楷体" w:eastAsia="楷体" w:cs="楷体"/>
          <w:color w:val="000000" w:themeColor="text1"/>
          <w:sz w:val="28"/>
          <w:szCs w:val="28"/>
          <w:lang w:val="en-US" w:eastAsia="zh-CN"/>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"_Toc1416" </w:instrText>
      </w:r>
      <w:r>
        <w:rPr>
          <w:color w:val="000000" w:themeColor="text1"/>
          <w14:textFill>
            <w14:solidFill>
              <w14:schemeClr w14:val="tx1"/>
            </w14:solidFill>
          </w14:textFill>
        </w:rPr>
        <w:fldChar w:fldCharType="separate"/>
      </w:r>
      <w:r>
        <w:rPr>
          <w:rFonts w:hint="eastAsia" w:ascii="楷体" w:hAnsi="楷体" w:eastAsia="楷体" w:cs="楷体"/>
          <w:color w:val="000000" w:themeColor="text1"/>
          <w:sz w:val="28"/>
          <w:szCs w:val="28"/>
          <w14:textFill>
            <w14:solidFill>
              <w14:schemeClr w14:val="tx1"/>
            </w14:solidFill>
          </w14:textFill>
        </w:rPr>
        <w:t>（七）技工院校毕业生</w:t>
      </w:r>
      <w:r>
        <w:rPr>
          <w:rFonts w:ascii="楷体" w:hAnsi="楷体" w:eastAsia="楷体" w:cs="楷体"/>
          <w:color w:val="000000" w:themeColor="text1"/>
          <w:sz w:val="28"/>
          <w:szCs w:val="28"/>
          <w14:textFill>
            <w14:solidFill>
              <w14:schemeClr w14:val="tx1"/>
            </w14:solidFill>
          </w14:textFill>
        </w:rPr>
        <w:tab/>
      </w:r>
      <w:r>
        <w:rPr>
          <w:rFonts w:hint="eastAsia" w:ascii="楷体" w:hAnsi="楷体" w:eastAsia="楷体" w:cs="楷体"/>
          <w:color w:val="000000" w:themeColor="text1"/>
          <w:sz w:val="28"/>
          <w:szCs w:val="28"/>
          <w:lang w:val="en-US" w:eastAsia="zh-CN"/>
          <w14:textFill>
            <w14:solidFill>
              <w14:schemeClr w14:val="tx1"/>
            </w14:solidFill>
          </w14:textFill>
        </w:rPr>
        <w:t>2</w:t>
      </w:r>
      <w:r>
        <w:rPr>
          <w:rFonts w:ascii="楷体" w:hAnsi="楷体" w:eastAsia="楷体" w:cs="楷体"/>
          <w:color w:val="000000" w:themeColor="text1"/>
          <w:sz w:val="28"/>
          <w:szCs w:val="28"/>
          <w14:textFill>
            <w14:solidFill>
              <w14:schemeClr w14:val="tx1"/>
            </w14:solidFill>
          </w14:textFill>
        </w:rPr>
        <w:fldChar w:fldCharType="end"/>
      </w:r>
      <w:r>
        <w:rPr>
          <w:rFonts w:hint="eastAsia" w:ascii="楷体" w:hAnsi="楷体" w:eastAsia="楷体" w:cs="楷体"/>
          <w:color w:val="000000" w:themeColor="text1"/>
          <w:sz w:val="28"/>
          <w:szCs w:val="28"/>
          <w:lang w:val="en-US" w:eastAsia="zh-CN"/>
          <w14:textFill>
            <w14:solidFill>
              <w14:schemeClr w14:val="tx1"/>
            </w14:solidFill>
          </w14:textFill>
        </w:rPr>
        <w:t>0</w:t>
      </w:r>
    </w:p>
    <w:p>
      <w:pPr>
        <w:pStyle w:val="18"/>
        <w:tabs>
          <w:tab w:val="right" w:leader="dot" w:pos="8306"/>
        </w:tabs>
        <w:spacing w:line="420" w:lineRule="exact"/>
        <w:rPr>
          <w:rFonts w:hint="eastAsia" w:ascii="黑体" w:hAnsi="黑体" w:eastAsia="黑体" w:cs="黑体"/>
          <w:color w:val="000000" w:themeColor="text1"/>
          <w:sz w:val="28"/>
          <w:szCs w:val="28"/>
          <w:lang w:val="en-US" w:eastAsia="zh-CN"/>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"_Toc16887" </w:instrText>
      </w:r>
      <w:r>
        <w:rPr>
          <w:color w:val="000000" w:themeColor="text1"/>
          <w14:textFill>
            <w14:solidFill>
              <w14:schemeClr w14:val="tx1"/>
            </w14:solidFill>
          </w14:textFill>
        </w:rPr>
        <w:fldChar w:fldCharType="separate"/>
      </w:r>
      <w:r>
        <w:rPr>
          <w:rFonts w:hint="eastAsia" w:ascii="黑体" w:hAnsi="黑体" w:eastAsia="黑体" w:cs="黑体"/>
          <w:color w:val="000000" w:themeColor="text1"/>
          <w:sz w:val="28"/>
          <w:szCs w:val="28"/>
          <w14:textFill>
            <w14:solidFill>
              <w14:schemeClr w14:val="tx1"/>
            </w14:solidFill>
          </w14:textFill>
        </w:rPr>
        <w:t>十</w:t>
      </w:r>
      <w:r>
        <w:rPr>
          <w:rFonts w:hint="eastAsia" w:ascii="黑体" w:hAnsi="黑体" w:eastAsia="黑体" w:cs="黑体"/>
          <w:color w:val="000000" w:themeColor="text1"/>
          <w:sz w:val="28"/>
          <w:szCs w:val="28"/>
          <w:lang w:eastAsia="zh-CN"/>
          <w14:textFill>
            <w14:solidFill>
              <w14:schemeClr w14:val="tx1"/>
            </w14:solidFill>
          </w14:textFill>
        </w:rPr>
        <w:t>四</w:t>
      </w:r>
      <w:r>
        <w:rPr>
          <w:rFonts w:hint="eastAsia" w:ascii="黑体" w:hAnsi="黑体" w:eastAsia="黑体" w:cs="黑体"/>
          <w:color w:val="000000" w:themeColor="text1"/>
          <w:sz w:val="28"/>
          <w:szCs w:val="28"/>
          <w14:textFill>
            <w14:solidFill>
              <w14:schemeClr w14:val="tx1"/>
            </w14:solidFill>
          </w14:textFill>
        </w:rPr>
        <w:t>、疫情防控要求</w:t>
      </w:r>
      <w:r>
        <w:rPr>
          <w:rFonts w:ascii="黑体" w:hAnsi="黑体" w:eastAsia="黑体" w:cs="黑体"/>
          <w:color w:val="000000" w:themeColor="text1"/>
          <w:sz w:val="28"/>
          <w:szCs w:val="28"/>
          <w14:textFill>
            <w14:solidFill>
              <w14:schemeClr w14:val="tx1"/>
            </w14:solidFill>
          </w14:textFill>
        </w:rPr>
        <w:tab/>
      </w:r>
      <w:r>
        <w:rPr>
          <w:rFonts w:ascii="黑体" w:hAnsi="黑体" w:eastAsia="黑体" w:cs="黑体"/>
          <w:color w:val="000000" w:themeColor="text1"/>
          <w:sz w:val="28"/>
          <w:szCs w:val="28"/>
          <w14:textFill>
            <w14:solidFill>
              <w14:schemeClr w14:val="tx1"/>
            </w14:solidFill>
          </w14:textFill>
        </w:rPr>
        <w:fldChar w:fldCharType="begin"/>
      </w:r>
      <w:r>
        <w:rPr>
          <w:rFonts w:ascii="黑体" w:hAnsi="黑体" w:eastAsia="黑体" w:cs="黑体"/>
          <w:color w:val="000000" w:themeColor="text1"/>
          <w:sz w:val="28"/>
          <w:szCs w:val="28"/>
          <w14:textFill>
            <w14:solidFill>
              <w14:schemeClr w14:val="tx1"/>
            </w14:solidFill>
          </w14:textFill>
        </w:rPr>
        <w:instrText xml:space="preserve"> PAGEREF _Toc16887 \h </w:instrText>
      </w:r>
      <w:r>
        <w:rPr>
          <w:rFonts w:ascii="黑体" w:hAnsi="黑体" w:eastAsia="黑体" w:cs="黑体"/>
          <w:color w:val="000000" w:themeColor="text1"/>
          <w:sz w:val="28"/>
          <w:szCs w:val="28"/>
          <w14:textFill>
            <w14:solidFill>
              <w14:schemeClr w14:val="tx1"/>
            </w14:solidFill>
          </w14:textFill>
        </w:rPr>
        <w:fldChar w:fldCharType="separate"/>
      </w:r>
      <w:r>
        <w:rPr>
          <w:rFonts w:ascii="黑体" w:hAnsi="黑体" w:eastAsia="黑体" w:cs="黑体"/>
          <w:color w:val="000000" w:themeColor="text1"/>
          <w:sz w:val="28"/>
          <w:szCs w:val="28"/>
          <w14:textFill>
            <w14:solidFill>
              <w14:schemeClr w14:val="tx1"/>
            </w14:solidFill>
          </w14:textFill>
        </w:rPr>
        <w:t>20</w:t>
      </w:r>
      <w:r>
        <w:rPr>
          <w:rFonts w:ascii="黑体" w:hAnsi="黑体" w:eastAsia="黑体" w:cs="黑体"/>
          <w:color w:val="000000" w:themeColor="text1"/>
          <w:sz w:val="28"/>
          <w:szCs w:val="28"/>
          <w14:textFill>
            <w14:solidFill>
              <w14:schemeClr w14:val="tx1"/>
            </w14:solidFill>
          </w14:textFill>
        </w:rPr>
        <w:fldChar w:fldCharType="end"/>
      </w:r>
      <w:r>
        <w:rPr>
          <w:rFonts w:ascii="黑体" w:hAnsi="黑体" w:eastAsia="黑体" w:cs="黑体"/>
          <w:color w:val="000000" w:themeColor="text1"/>
          <w:sz w:val="28"/>
          <w:szCs w:val="28"/>
          <w14:textFill>
            <w14:solidFill>
              <w14:schemeClr w14:val="tx1"/>
            </w14:solidFill>
          </w14:textFill>
        </w:rPr>
        <w:fldChar w:fldCharType="end"/>
      </w:r>
    </w:p>
    <w:p>
      <w:pPr>
        <w:spacing w:line="420" w:lineRule="exact"/>
        <w:ind w:firstLine="560" w:firstLineChars="200"/>
        <w:rPr>
          <w:rFonts w:ascii="??_GB2312" w:eastAsia="Times New Roman"/>
          <w:color w:val="000000" w:themeColor="text1"/>
          <w:sz w:val="32"/>
          <w:szCs w:val="32"/>
          <w14:textFill>
            <w14:solidFill>
              <w14:schemeClr w14:val="tx1"/>
            </w14:solidFill>
          </w14:textFill>
        </w:rPr>
      </w:pPr>
      <w:r>
        <w:rPr>
          <w:rFonts w:ascii="黑体" w:hAnsi="黑体" w:eastAsia="黑体" w:cs="黑体"/>
          <w:color w:val="000000" w:themeColor="text1"/>
          <w:sz w:val="28"/>
          <w:szCs w:val="28"/>
          <w14:textFill>
            <w14:solidFill>
              <w14:schemeClr w14:val="tx1"/>
            </w14:solidFill>
          </w14:textFill>
        </w:rPr>
        <w:fldChar w:fldCharType="end"/>
      </w:r>
    </w:p>
    <w:p>
      <w:pPr>
        <w:spacing w:line="420" w:lineRule="exact"/>
        <w:ind w:firstLine="640" w:firstLineChars="200"/>
        <w:rPr>
          <w:rFonts w:ascii="??_GB2312" w:eastAsia="Times New Roman"/>
          <w:color w:val="000000" w:themeColor="text1"/>
          <w:sz w:val="32"/>
          <w:szCs w:val="32"/>
          <w14:textFill>
            <w14:solidFill>
              <w14:schemeClr w14:val="tx1"/>
            </w14:solidFill>
          </w14:textFill>
        </w:rPr>
      </w:pPr>
    </w:p>
    <w:p>
      <w:pPr>
        <w:ind w:firstLine="640" w:firstLineChars="200"/>
        <w:rPr>
          <w:rFonts w:ascii="??_GB2312" w:eastAsia="Times New Roman"/>
          <w:color w:val="000000" w:themeColor="text1"/>
          <w:sz w:val="32"/>
          <w:szCs w:val="32"/>
          <w14:textFill>
            <w14:solidFill>
              <w14:schemeClr w14:val="tx1"/>
            </w14:solidFill>
          </w14:textFill>
        </w:rPr>
      </w:pPr>
    </w:p>
    <w:p>
      <w:pPr>
        <w:ind w:firstLine="640" w:firstLineChars="200"/>
        <w:rPr>
          <w:rFonts w:ascii="??_GB2312" w:eastAsia="Times New Roman"/>
          <w:color w:val="000000" w:themeColor="text1"/>
          <w:sz w:val="32"/>
          <w:szCs w:val="32"/>
          <w14:textFill>
            <w14:solidFill>
              <w14:schemeClr w14:val="tx1"/>
            </w14:solidFill>
          </w14:textFill>
        </w:rPr>
      </w:pPr>
    </w:p>
    <w:p>
      <w:pPr>
        <w:ind w:firstLine="640" w:firstLineChars="200"/>
        <w:rPr>
          <w:rFonts w:ascii="??_GB2312" w:eastAsia="Times New Roman"/>
          <w:color w:val="000000" w:themeColor="text1"/>
          <w:sz w:val="32"/>
          <w:szCs w:val="32"/>
          <w14:textFill>
            <w14:solidFill>
              <w14:schemeClr w14:val="tx1"/>
            </w14:solidFill>
          </w14:textFill>
        </w:rPr>
      </w:pPr>
    </w:p>
    <w:p>
      <w:pPr>
        <w:ind w:firstLine="640" w:firstLineChars="200"/>
        <w:rPr>
          <w:rFonts w:ascii="??_GB2312" w:eastAsia="Times New Roman"/>
          <w:color w:val="000000" w:themeColor="text1"/>
          <w:sz w:val="32"/>
          <w:szCs w:val="32"/>
          <w14:textFill>
            <w14:solidFill>
              <w14:schemeClr w14:val="tx1"/>
            </w14:solidFill>
          </w14:textFill>
        </w:rPr>
        <w:sectPr>
          <w:footerReference r:id="rId3" w:type="default"/>
          <w:pgSz w:w="11906" w:h="16838"/>
          <w:pgMar w:top="1440" w:right="1800" w:bottom="1440" w:left="1800" w:header="851" w:footer="992" w:gutter="0"/>
          <w:pgNumType w:start="1"/>
          <w:cols w:space="0" w:num="1"/>
          <w:docGrid w:type="lines" w:linePitch="312" w:charSpace="0"/>
        </w:sectPr>
      </w:pPr>
    </w:p>
    <w:p>
      <w:pPr>
        <w:ind w:firstLine="640" w:firstLineChars="200"/>
        <w:rPr>
          <w:rFonts w:ascii="??_GB2312" w:eastAsia="Times New Roman"/>
          <w:b/>
          <w:color w:val="000000" w:themeColor="text1"/>
          <w:sz w:val="32"/>
          <w:szCs w:val="32"/>
          <w14:textFill>
            <w14:solidFill>
              <w14:schemeClr w14:val="tx1"/>
            </w14:solidFill>
          </w14:textFill>
        </w:rPr>
      </w:pPr>
      <w:r>
        <w:rPr>
          <w:rFonts w:ascii="??_GB2312" w:eastAsia="Times New Roman"/>
          <w:color w:val="000000" w:themeColor="text1"/>
          <w:sz w:val="32"/>
          <w:szCs w:val="32"/>
          <w14:textFill>
            <w14:solidFill>
              <w14:schemeClr w14:val="tx1"/>
            </w14:solidFill>
          </w14:textFill>
        </w:rPr>
        <w:t>本指南仅适用于</w:t>
      </w:r>
      <w:r>
        <w:rPr>
          <w:rFonts w:hint="eastAsia" w:ascii="??_GB2312"/>
          <w:color w:val="000000" w:themeColor="text1"/>
          <w:sz w:val="32"/>
          <w:szCs w:val="32"/>
          <w:lang w:eastAsia="zh-CN"/>
          <w14:textFill>
            <w14:solidFill>
              <w14:schemeClr w14:val="tx1"/>
            </w14:solidFill>
          </w14:textFill>
        </w:rPr>
        <w:t>厦门医学院附属第二医院、附属口腔医院</w:t>
      </w:r>
      <w:r>
        <w:rPr>
          <w:rFonts w:ascii="??_GB2312" w:eastAsia="Times New Roman"/>
          <w:color w:val="000000" w:themeColor="text1"/>
          <w:sz w:val="32"/>
          <w:szCs w:val="32"/>
          <w14:textFill>
            <w14:solidFill>
              <w14:schemeClr w14:val="tx1"/>
            </w14:solidFill>
          </w14:textFill>
        </w:rPr>
        <w:t>补充编内工作人员招聘考试（2021年4月），由</w:t>
      </w:r>
      <w:r>
        <w:rPr>
          <w:rFonts w:hint="eastAsia" w:ascii="??_GB2312"/>
          <w:color w:val="000000" w:themeColor="text1"/>
          <w:sz w:val="32"/>
          <w:szCs w:val="32"/>
          <w:lang w:eastAsia="zh-CN"/>
          <w14:textFill>
            <w14:solidFill>
              <w14:schemeClr w14:val="tx1"/>
            </w14:solidFill>
          </w14:textFill>
        </w:rPr>
        <w:t>厦门医学院</w:t>
      </w:r>
      <w:r>
        <w:rPr>
          <w:rFonts w:ascii="??_GB2312" w:eastAsia="Times New Roman"/>
          <w:color w:val="000000" w:themeColor="text1"/>
          <w:sz w:val="32"/>
          <w:szCs w:val="32"/>
          <w14:textFill>
            <w14:solidFill>
              <w14:schemeClr w14:val="tx1"/>
            </w14:solidFill>
          </w14:textFill>
        </w:rPr>
        <w:t>解释。</w:t>
      </w:r>
    </w:p>
    <w:p>
      <w:pPr>
        <w:pStyle w:val="2"/>
        <w:rPr>
          <w:rFonts w:ascii="黑体" w:hAnsi="黑体" w:eastAsia="黑体" w:cs="黑体"/>
          <w:color w:val="000000" w:themeColor="text1"/>
          <w:sz w:val="32"/>
          <w:szCs w:val="32"/>
          <w14:textFill>
            <w14:solidFill>
              <w14:schemeClr w14:val="tx1"/>
            </w14:solidFill>
          </w14:textFill>
        </w:rPr>
      </w:pPr>
      <w:bookmarkStart w:id="1" w:name="_Toc26791"/>
      <w:bookmarkStart w:id="2" w:name="_Toc14381"/>
      <w:bookmarkStart w:id="3" w:name="_Toc23801"/>
      <w:bookmarkStart w:id="4" w:name="_Toc3629"/>
      <w:bookmarkStart w:id="5" w:name="_Toc10459"/>
      <w:bookmarkStart w:id="6" w:name="_Toc14912"/>
      <w:r>
        <w:rPr>
          <w:rFonts w:hint="eastAsia" w:ascii="黑体" w:hAnsi="黑体" w:eastAsia="黑体" w:cs="黑体"/>
          <w:color w:val="000000" w:themeColor="text1"/>
          <w:sz w:val="32"/>
          <w:szCs w:val="32"/>
          <w14:textFill>
            <w14:solidFill>
              <w14:schemeClr w14:val="tx1"/>
            </w14:solidFill>
          </w14:textFill>
        </w:rPr>
        <w:t>一、基本条件</w:t>
      </w:r>
      <w:bookmarkEnd w:id="1"/>
      <w:bookmarkEnd w:id="2"/>
      <w:bookmarkEnd w:id="3"/>
      <w:bookmarkEnd w:id="4"/>
      <w:bookmarkEnd w:id="5"/>
      <w:bookmarkEnd w:id="6"/>
    </w:p>
    <w:p>
      <w:pPr>
        <w:ind w:firstLine="640" w:firstLineChars="200"/>
        <w:rPr>
          <w:rFonts w:ascii="??_GB2312" w:eastAsia="Times New Roman"/>
          <w:color w:val="000000" w:themeColor="text1"/>
          <w:sz w:val="32"/>
          <w:szCs w:val="32"/>
          <w14:textFill>
            <w14:solidFill>
              <w14:schemeClr w14:val="tx1"/>
            </w14:solidFill>
          </w14:textFill>
        </w:rPr>
      </w:pPr>
      <w:bookmarkStart w:id="7" w:name="_Toc9119_WPSOffice_Level2"/>
      <w:bookmarkStart w:id="8" w:name="_Toc19262_WPSOffice_Level2"/>
      <w:bookmarkStart w:id="9" w:name="_Toc17638_WPSOffice_Level2"/>
      <w:bookmarkStart w:id="10" w:name="_Toc29243_WPSOffice_Level2"/>
      <w:r>
        <w:rPr>
          <w:rFonts w:ascii="??_GB2312" w:eastAsia="Times New Roman"/>
          <w:color w:val="000000" w:themeColor="text1"/>
          <w:sz w:val="32"/>
          <w:szCs w:val="32"/>
          <w14:textFill>
            <w14:solidFill>
              <w14:schemeClr w14:val="tx1"/>
            </w14:solidFill>
          </w14:textFill>
        </w:rPr>
        <w:t>（一）具有中华人民共和国国籍；</w:t>
      </w:r>
      <w:bookmarkEnd w:id="7"/>
      <w:bookmarkEnd w:id="8"/>
      <w:bookmarkEnd w:id="9"/>
      <w:bookmarkEnd w:id="10"/>
    </w:p>
    <w:p>
      <w:pPr>
        <w:ind w:firstLine="640" w:firstLineChars="200"/>
        <w:rPr>
          <w:rFonts w:ascii="??_GB2312" w:eastAsia="Times New Roman"/>
          <w:color w:val="000000" w:themeColor="text1"/>
          <w:sz w:val="32"/>
          <w:szCs w:val="32"/>
          <w14:textFill>
            <w14:solidFill>
              <w14:schemeClr w14:val="tx1"/>
            </w14:solidFill>
          </w14:textFill>
        </w:rPr>
      </w:pPr>
      <w:bookmarkStart w:id="11" w:name="_Toc12392_WPSOffice_Level2"/>
      <w:bookmarkStart w:id="12" w:name="_Toc17350_WPSOffice_Level2"/>
      <w:bookmarkStart w:id="13" w:name="_Toc4207_WPSOffice_Level2"/>
      <w:bookmarkStart w:id="14" w:name="_Toc11941_WPSOffice_Level2"/>
      <w:r>
        <w:rPr>
          <w:rFonts w:ascii="??_GB2312" w:eastAsia="Times New Roman"/>
          <w:color w:val="000000" w:themeColor="text1"/>
          <w:sz w:val="32"/>
          <w:szCs w:val="32"/>
          <w14:textFill>
            <w14:solidFill>
              <w14:schemeClr w14:val="tx1"/>
            </w14:solidFill>
          </w14:textFill>
        </w:rPr>
        <w:t>（二）拥护中华人民共和国宪法</w:t>
      </w:r>
      <w:r>
        <w:rPr>
          <w:rFonts w:hint="eastAsia" w:ascii="??_GB2312" w:eastAsia="Times New Roman"/>
          <w:color w:val="000000" w:themeColor="text1"/>
          <w:sz w:val="32"/>
          <w:szCs w:val="32"/>
          <w14:textFill>
            <w14:solidFill>
              <w14:schemeClr w14:val="tx1"/>
            </w14:solidFill>
          </w14:textFill>
        </w:rPr>
        <w:t>，</w:t>
      </w:r>
      <w:r>
        <w:rPr>
          <w:rFonts w:ascii="??_GB2312" w:eastAsia="Times New Roman"/>
          <w:color w:val="000000" w:themeColor="text1"/>
          <w:sz w:val="32"/>
          <w:szCs w:val="32"/>
          <w14:textFill>
            <w14:solidFill>
              <w14:schemeClr w14:val="tx1"/>
            </w14:solidFill>
          </w14:textFill>
        </w:rPr>
        <w:t>拥护中国共产党领导和社会主义制度；</w:t>
      </w:r>
      <w:bookmarkEnd w:id="11"/>
      <w:bookmarkEnd w:id="12"/>
      <w:bookmarkEnd w:id="13"/>
      <w:bookmarkEnd w:id="14"/>
    </w:p>
    <w:p>
      <w:pPr>
        <w:ind w:firstLine="640" w:firstLineChars="200"/>
        <w:rPr>
          <w:rFonts w:ascii="??_GB2312" w:eastAsia="Times New Roman"/>
          <w:color w:val="000000" w:themeColor="text1"/>
          <w:sz w:val="32"/>
          <w:szCs w:val="32"/>
          <w14:textFill>
            <w14:solidFill>
              <w14:schemeClr w14:val="tx1"/>
            </w14:solidFill>
          </w14:textFill>
        </w:rPr>
      </w:pPr>
      <w:bookmarkStart w:id="15" w:name="_Toc6014_WPSOffice_Level2"/>
      <w:bookmarkStart w:id="16" w:name="_Toc7847_WPSOffice_Level2"/>
      <w:bookmarkStart w:id="17" w:name="_Toc9634_WPSOffice_Level2"/>
      <w:bookmarkStart w:id="18" w:name="_Toc20094_WPSOffice_Level2"/>
      <w:r>
        <w:rPr>
          <w:rFonts w:ascii="??_GB2312" w:eastAsia="Times New Roman"/>
          <w:color w:val="000000" w:themeColor="text1"/>
          <w:sz w:val="32"/>
          <w:szCs w:val="32"/>
          <w14:textFill>
            <w14:solidFill>
              <w14:schemeClr w14:val="tx1"/>
            </w14:solidFill>
          </w14:textFill>
        </w:rPr>
        <w:t>（三）</w:t>
      </w:r>
      <w:bookmarkEnd w:id="15"/>
      <w:bookmarkEnd w:id="16"/>
      <w:bookmarkEnd w:id="17"/>
      <w:bookmarkEnd w:id="18"/>
      <w:r>
        <w:rPr>
          <w:rFonts w:ascii="??_GB2312" w:eastAsia="Times New Roman"/>
          <w:color w:val="000000" w:themeColor="text1"/>
          <w:sz w:val="32"/>
          <w:szCs w:val="32"/>
          <w14:textFill>
            <w14:solidFill>
              <w14:schemeClr w14:val="tx1"/>
            </w14:solidFill>
          </w14:textFill>
        </w:rPr>
        <w:t>热爱卫生健康事业，具有良好的政治素质和职业道德；</w:t>
      </w:r>
    </w:p>
    <w:p>
      <w:pPr>
        <w:ind w:firstLine="640" w:firstLineChars="200"/>
        <w:rPr>
          <w:rFonts w:ascii="??_GB2312" w:eastAsia="Times New Roman"/>
          <w:color w:val="000000" w:themeColor="text1"/>
          <w:sz w:val="32"/>
          <w:szCs w:val="32"/>
          <w14:textFill>
            <w14:solidFill>
              <w14:schemeClr w14:val="tx1"/>
            </w14:solidFill>
          </w14:textFill>
        </w:rPr>
      </w:pPr>
      <w:r>
        <w:rPr>
          <w:rFonts w:ascii="??_GB2312" w:eastAsia="Times New Roman"/>
          <w:color w:val="000000" w:themeColor="text1"/>
          <w:sz w:val="32"/>
          <w:szCs w:val="32"/>
          <w14:textFill>
            <w14:solidFill>
              <w14:schemeClr w14:val="tx1"/>
            </w14:solidFill>
          </w14:textFill>
        </w:rPr>
        <w:t>（四）具有正常履行职责的身体条件和心理素质；</w:t>
      </w:r>
    </w:p>
    <w:p>
      <w:pPr>
        <w:ind w:firstLine="640" w:firstLineChars="200"/>
        <w:rPr>
          <w:rFonts w:ascii="??_GB2312" w:eastAsia="Times New Roman"/>
          <w:color w:val="000000" w:themeColor="text1"/>
          <w:sz w:val="32"/>
          <w:szCs w:val="32"/>
          <w14:textFill>
            <w14:solidFill>
              <w14:schemeClr w14:val="tx1"/>
            </w14:solidFill>
          </w14:textFill>
        </w:rPr>
      </w:pPr>
      <w:bookmarkStart w:id="19" w:name="_Toc26060_WPSOffice_Level2"/>
      <w:bookmarkStart w:id="20" w:name="_Toc4758_WPSOffice_Level2"/>
      <w:bookmarkStart w:id="21" w:name="_Toc19929_WPSOffice_Level2"/>
      <w:bookmarkStart w:id="22" w:name="_Toc10788_WPSOffice_Level2"/>
      <w:r>
        <w:rPr>
          <w:rFonts w:ascii="??_GB2312" w:eastAsia="Times New Roman"/>
          <w:color w:val="000000" w:themeColor="text1"/>
          <w:sz w:val="32"/>
          <w:szCs w:val="32"/>
          <w14:textFill>
            <w14:solidFill>
              <w14:schemeClr w14:val="tx1"/>
            </w14:solidFill>
          </w14:textFill>
        </w:rPr>
        <w:t>（五）具备招聘岗位设置的资格条件。</w:t>
      </w:r>
      <w:bookmarkEnd w:id="19"/>
      <w:bookmarkEnd w:id="20"/>
      <w:bookmarkEnd w:id="21"/>
      <w:bookmarkEnd w:id="22"/>
    </w:p>
    <w:p>
      <w:pPr>
        <w:pStyle w:val="2"/>
        <w:rPr>
          <w:rFonts w:ascii="黑体" w:hAnsi="黑体" w:eastAsia="黑体" w:cs="黑体"/>
          <w:color w:val="000000" w:themeColor="text1"/>
          <w:sz w:val="32"/>
          <w:szCs w:val="32"/>
          <w14:textFill>
            <w14:solidFill>
              <w14:schemeClr w14:val="tx1"/>
            </w14:solidFill>
          </w14:textFill>
        </w:rPr>
      </w:pPr>
      <w:bookmarkStart w:id="23" w:name="_Toc20470"/>
      <w:bookmarkStart w:id="24" w:name="_Toc25192"/>
      <w:bookmarkStart w:id="25" w:name="_Toc22673"/>
      <w:bookmarkStart w:id="26" w:name="_Toc24502"/>
      <w:bookmarkStart w:id="27" w:name="_Toc25850"/>
      <w:bookmarkStart w:id="28" w:name="_Toc5197"/>
      <w:bookmarkStart w:id="29" w:name="_Toc3363"/>
      <w:r>
        <w:rPr>
          <w:rFonts w:hint="eastAsia" w:ascii="黑体" w:hAnsi="黑体" w:eastAsia="黑体" w:cs="黑体"/>
          <w:color w:val="000000" w:themeColor="text1"/>
          <w:sz w:val="32"/>
          <w:szCs w:val="32"/>
          <w14:textFill>
            <w14:solidFill>
              <w14:schemeClr w14:val="tx1"/>
            </w14:solidFill>
          </w14:textFill>
        </w:rPr>
        <w:t>二、不得报考或取消报考（聘用）资格的情形</w:t>
      </w:r>
      <w:bookmarkEnd w:id="23"/>
      <w:bookmarkEnd w:id="24"/>
      <w:bookmarkEnd w:id="25"/>
      <w:bookmarkEnd w:id="26"/>
      <w:bookmarkEnd w:id="27"/>
      <w:bookmarkEnd w:id="28"/>
      <w:bookmarkEnd w:id="29"/>
    </w:p>
    <w:p>
      <w:pPr>
        <w:ind w:firstLine="640" w:firstLineChars="200"/>
        <w:rPr>
          <w:rFonts w:ascii="??_GB2312" w:eastAsia="Times New Roman"/>
          <w:color w:val="000000" w:themeColor="text1"/>
          <w:sz w:val="32"/>
          <w:szCs w:val="32"/>
          <w14:textFill>
            <w14:solidFill>
              <w14:schemeClr w14:val="tx1"/>
            </w14:solidFill>
          </w14:textFill>
        </w:rPr>
      </w:pPr>
      <w:r>
        <w:rPr>
          <w:rFonts w:ascii="??_GB2312" w:eastAsia="Times New Roman"/>
          <w:color w:val="000000" w:themeColor="text1"/>
          <w:sz w:val="32"/>
          <w:szCs w:val="32"/>
          <w14:textFill>
            <w14:solidFill>
              <w14:schemeClr w14:val="tx1"/>
            </w14:solidFill>
          </w14:textFill>
        </w:rPr>
        <w:t>（一）曾因犯罪受过刑事处罚的；</w:t>
      </w:r>
    </w:p>
    <w:p>
      <w:pPr>
        <w:ind w:firstLine="640" w:firstLineChars="200"/>
        <w:rPr>
          <w:rFonts w:ascii="??_GB2312" w:eastAsia="Times New Roman"/>
          <w:color w:val="000000" w:themeColor="text1"/>
          <w:sz w:val="32"/>
          <w:szCs w:val="32"/>
          <w14:textFill>
            <w14:solidFill>
              <w14:schemeClr w14:val="tx1"/>
            </w14:solidFill>
          </w14:textFill>
        </w:rPr>
      </w:pPr>
      <w:r>
        <w:rPr>
          <w:rFonts w:ascii="??_GB2312" w:eastAsia="Times New Roman"/>
          <w:color w:val="000000" w:themeColor="text1"/>
          <w:sz w:val="32"/>
          <w:szCs w:val="32"/>
          <w14:textFill>
            <w14:solidFill>
              <w14:schemeClr w14:val="tx1"/>
            </w14:solidFill>
          </w14:textFill>
        </w:rPr>
        <w:t>（二）曾被开除公职的；</w:t>
      </w:r>
    </w:p>
    <w:p>
      <w:pPr>
        <w:ind w:firstLine="640" w:firstLineChars="200"/>
        <w:rPr>
          <w:rFonts w:ascii="??_GB2312" w:eastAsia="Times New Roman"/>
          <w:color w:val="000000" w:themeColor="text1"/>
          <w:sz w:val="32"/>
          <w:szCs w:val="32"/>
          <w14:textFill>
            <w14:solidFill>
              <w14:schemeClr w14:val="tx1"/>
            </w14:solidFill>
          </w14:textFill>
        </w:rPr>
      </w:pPr>
      <w:r>
        <w:rPr>
          <w:rFonts w:ascii="??_GB2312" w:eastAsia="Times New Roman"/>
          <w:color w:val="000000" w:themeColor="text1"/>
          <w:sz w:val="32"/>
          <w:szCs w:val="32"/>
          <w14:textFill>
            <w14:solidFill>
              <w14:schemeClr w14:val="tx1"/>
            </w14:solidFill>
          </w14:textFill>
        </w:rPr>
        <w:t>（三）涉嫌违法犯罪正在接受司法调查尚未做出结论的，或尚未解除党（政）纪处分的，或正在接受纪律审查的;</w:t>
      </w:r>
    </w:p>
    <w:p>
      <w:pPr>
        <w:ind w:firstLine="640" w:firstLineChars="200"/>
        <w:rPr>
          <w:rFonts w:ascii="??_GB2312" w:eastAsia="Times New Roman"/>
          <w:color w:val="000000" w:themeColor="text1"/>
          <w:sz w:val="32"/>
          <w:szCs w:val="32"/>
          <w14:textFill>
            <w14:solidFill>
              <w14:schemeClr w14:val="tx1"/>
            </w14:solidFill>
          </w14:textFill>
        </w:rPr>
      </w:pPr>
      <w:r>
        <w:rPr>
          <w:rFonts w:ascii="??_GB2312" w:eastAsia="Times New Roman"/>
          <w:color w:val="000000" w:themeColor="text1"/>
          <w:sz w:val="32"/>
          <w:szCs w:val="32"/>
          <w14:textFill>
            <w14:solidFill>
              <w14:schemeClr w14:val="tx1"/>
            </w14:solidFill>
          </w14:textFill>
        </w:rPr>
        <w:t>（四）工作期间曾发生医疗事故负有主要责任的；</w:t>
      </w:r>
    </w:p>
    <w:p>
      <w:pPr>
        <w:ind w:firstLine="640" w:firstLineChars="200"/>
        <w:rPr>
          <w:rFonts w:ascii="??_GB2312" w:eastAsia="Times New Roman"/>
          <w:color w:val="000000" w:themeColor="text1"/>
          <w:sz w:val="32"/>
          <w:szCs w:val="32"/>
          <w14:textFill>
            <w14:solidFill>
              <w14:schemeClr w14:val="tx1"/>
            </w14:solidFill>
          </w14:textFill>
        </w:rPr>
      </w:pPr>
      <w:r>
        <w:rPr>
          <w:rFonts w:ascii="??_GB2312" w:eastAsia="Times New Roman"/>
          <w:color w:val="000000" w:themeColor="text1"/>
          <w:sz w:val="32"/>
          <w:szCs w:val="32"/>
          <w14:textFill>
            <w14:solidFill>
              <w14:schemeClr w14:val="tx1"/>
            </w14:solidFill>
          </w14:textFill>
        </w:rPr>
        <w:t>（五）公务员或参照公务员法管理机关（单位）工作人员（以下简称“参公人员”）被辞退未满5年的；</w:t>
      </w:r>
    </w:p>
    <w:p>
      <w:pPr>
        <w:ind w:firstLine="640" w:firstLineChars="200"/>
        <w:rPr>
          <w:rFonts w:ascii="??_GB2312" w:eastAsia="Times New Roman"/>
          <w:color w:val="000000" w:themeColor="text1"/>
          <w:sz w:val="32"/>
          <w:szCs w:val="32"/>
          <w14:textFill>
            <w14:solidFill>
              <w14:schemeClr w14:val="tx1"/>
            </w14:solidFill>
          </w14:textFill>
        </w:rPr>
      </w:pPr>
      <w:r>
        <w:rPr>
          <w:rFonts w:ascii="??_GB2312" w:eastAsia="Times New Roman"/>
          <w:color w:val="000000" w:themeColor="text1"/>
          <w:sz w:val="32"/>
          <w:szCs w:val="32"/>
          <w14:textFill>
            <w14:solidFill>
              <w14:schemeClr w14:val="tx1"/>
            </w14:solidFill>
          </w14:textFill>
        </w:rPr>
        <w:t>（六）考录（不含转任）后服务年限（含试用期）不满2年以及未达到与当地公务员主管部门或单位组织人事部门约定服务年限的公务员和参公人员；</w:t>
      </w:r>
    </w:p>
    <w:p>
      <w:pPr>
        <w:ind w:firstLine="640" w:firstLineChars="200"/>
        <w:rPr>
          <w:rFonts w:ascii="??_GB2312" w:eastAsia="Times New Roman"/>
          <w:color w:val="000000" w:themeColor="text1"/>
          <w:sz w:val="32"/>
          <w:szCs w:val="32"/>
          <w14:textFill>
            <w14:solidFill>
              <w14:schemeClr w14:val="tx1"/>
            </w14:solidFill>
          </w14:textFill>
        </w:rPr>
      </w:pPr>
      <w:r>
        <w:rPr>
          <w:rFonts w:ascii="??_GB2312" w:eastAsia="Times New Roman"/>
          <w:color w:val="000000" w:themeColor="text1"/>
          <w:sz w:val="32"/>
          <w:szCs w:val="32"/>
          <w14:textFill>
            <w14:solidFill>
              <w14:schemeClr w14:val="tx1"/>
            </w14:solidFill>
          </w14:textFill>
        </w:rPr>
        <w:t>（七）报名时不是试用期内公务员或参公人员，但在报名之后、聘用之前成为试用期内公务员或参公人员的；</w:t>
      </w:r>
    </w:p>
    <w:p>
      <w:pPr>
        <w:ind w:firstLine="640" w:firstLineChars="200"/>
        <w:rPr>
          <w:rFonts w:ascii="??_GB2312" w:eastAsia="Times New Roman"/>
          <w:color w:val="000000" w:themeColor="text1"/>
          <w:sz w:val="32"/>
          <w:szCs w:val="32"/>
          <w14:textFill>
            <w14:solidFill>
              <w14:schemeClr w14:val="tx1"/>
            </w14:solidFill>
          </w14:textFill>
        </w:rPr>
      </w:pPr>
      <w:r>
        <w:rPr>
          <w:rFonts w:ascii="??_GB2312" w:eastAsia="Times New Roman"/>
          <w:color w:val="000000" w:themeColor="text1"/>
          <w:sz w:val="32"/>
          <w:szCs w:val="32"/>
          <w14:textFill>
            <w14:solidFill>
              <w14:schemeClr w14:val="tx1"/>
            </w14:solidFill>
          </w14:textFill>
        </w:rPr>
        <w:t>（八）现役军人；</w:t>
      </w:r>
    </w:p>
    <w:p>
      <w:pPr>
        <w:ind w:firstLine="640" w:firstLineChars="200"/>
        <w:rPr>
          <w:rFonts w:ascii="??_GB2312" w:eastAsia="Times New Roman"/>
          <w:color w:val="000000" w:themeColor="text1"/>
          <w:sz w:val="32"/>
          <w:szCs w:val="32"/>
          <w14:textFill>
            <w14:solidFill>
              <w14:schemeClr w14:val="tx1"/>
            </w14:solidFill>
          </w14:textFill>
        </w:rPr>
      </w:pPr>
      <w:r>
        <w:rPr>
          <w:rFonts w:ascii="??_GB2312" w:eastAsia="Times New Roman"/>
          <w:color w:val="000000" w:themeColor="text1"/>
          <w:sz w:val="32"/>
          <w:szCs w:val="32"/>
          <w14:textFill>
            <w14:solidFill>
              <w14:schemeClr w14:val="tx1"/>
            </w14:solidFill>
          </w14:textFill>
        </w:rPr>
        <w:t>（九）普通高等院校全日制在读的非应届毕业生（即2022年及以后才学业期满的全日制普通教育学生）；</w:t>
      </w:r>
    </w:p>
    <w:p>
      <w:pPr>
        <w:ind w:firstLine="640" w:firstLineChars="200"/>
        <w:rPr>
          <w:rFonts w:ascii="??_GB2312" w:eastAsia="Times New Roman"/>
          <w:color w:val="000000" w:themeColor="text1"/>
          <w:sz w:val="32"/>
          <w:szCs w:val="32"/>
          <w14:textFill>
            <w14:solidFill>
              <w14:schemeClr w14:val="tx1"/>
            </w14:solidFill>
          </w14:textFill>
        </w:rPr>
      </w:pPr>
      <w:r>
        <w:rPr>
          <w:rFonts w:ascii="??_GB2312" w:eastAsia="Times New Roman"/>
          <w:color w:val="000000" w:themeColor="text1"/>
          <w:sz w:val="32"/>
          <w:szCs w:val="32"/>
          <w14:textFill>
            <w14:solidFill>
              <w14:schemeClr w14:val="tx1"/>
            </w14:solidFill>
          </w14:textFill>
        </w:rPr>
        <w:t>（十）聘用后即构成应回避关系的；</w:t>
      </w:r>
    </w:p>
    <w:p>
      <w:pPr>
        <w:ind w:firstLine="640" w:firstLineChars="200"/>
        <w:rPr>
          <w:rFonts w:ascii="??_GB2312" w:eastAsia="Times New Roman"/>
          <w:color w:val="000000" w:themeColor="text1"/>
          <w:sz w:val="32"/>
          <w:szCs w:val="32"/>
          <w14:textFill>
            <w14:solidFill>
              <w14:schemeClr w14:val="tx1"/>
            </w14:solidFill>
          </w14:textFill>
        </w:rPr>
      </w:pPr>
      <w:r>
        <w:rPr>
          <w:rFonts w:ascii="??_GB2312" w:eastAsia="Times New Roman"/>
          <w:color w:val="000000" w:themeColor="text1"/>
          <w:sz w:val="32"/>
          <w:szCs w:val="32"/>
          <w14:textFill>
            <w14:solidFill>
              <w14:schemeClr w14:val="tx1"/>
            </w14:solidFill>
          </w14:textFill>
        </w:rPr>
        <w:t>（十</w:t>
      </w:r>
      <w:r>
        <w:rPr>
          <w:rFonts w:hint="eastAsia" w:ascii="??_GB2312" w:eastAsia="Times New Roman"/>
          <w:color w:val="000000" w:themeColor="text1"/>
          <w:sz w:val="32"/>
          <w:szCs w:val="32"/>
          <w14:textFill>
            <w14:solidFill>
              <w14:schemeClr w14:val="tx1"/>
            </w14:solidFill>
          </w14:textFill>
        </w:rPr>
        <w:t>一</w:t>
      </w:r>
      <w:r>
        <w:rPr>
          <w:rFonts w:ascii="??_GB2312" w:eastAsia="Times New Roman"/>
          <w:color w:val="000000" w:themeColor="text1"/>
          <w:sz w:val="32"/>
          <w:szCs w:val="32"/>
          <w14:textFill>
            <w14:solidFill>
              <w14:schemeClr w14:val="tx1"/>
            </w14:solidFill>
          </w14:textFill>
        </w:rPr>
        <w:t>）根据原福建省卫生计生委等六部门《关于印发&lt;完善福建省住院医师规范化培训制度的实施意见&gt;的通知》（闽卫科教〔2015〕107号）和《福建省卫生计生委关于印发福建省住院医师规范化培训实施方案的通知》（闽卫科教〔2016〕83号）精神：凡是以单位人身份进入住院医师规范化培训的人员或以单位人身份正在接受住院医师规范化培训的人员，在培训期间及培训结束（含终止培训或退出培训）后3年内不得报考培训基地所在单位的任何招聘岗位;</w:t>
      </w:r>
    </w:p>
    <w:p>
      <w:pPr>
        <w:ind w:firstLine="640" w:firstLineChars="200"/>
        <w:rPr>
          <w:rFonts w:ascii="??_GB2312" w:eastAsia="Times New Roman"/>
          <w:color w:val="000000" w:themeColor="text1"/>
          <w:sz w:val="32"/>
          <w:szCs w:val="32"/>
          <w14:textFill>
            <w14:solidFill>
              <w14:schemeClr w14:val="tx1"/>
            </w14:solidFill>
          </w14:textFill>
        </w:rPr>
      </w:pPr>
      <w:r>
        <w:rPr>
          <w:rFonts w:ascii="??_GB2312" w:eastAsia="Times New Roman"/>
          <w:color w:val="000000" w:themeColor="text1"/>
          <w:sz w:val="32"/>
          <w:szCs w:val="32"/>
          <w14:textFill>
            <w14:solidFill>
              <w14:schemeClr w14:val="tx1"/>
            </w14:solidFill>
          </w14:textFill>
        </w:rPr>
        <w:t>（十</w:t>
      </w:r>
      <w:r>
        <w:rPr>
          <w:rFonts w:hint="eastAsia" w:ascii="??_GB2312" w:eastAsia="Times New Roman"/>
          <w:color w:val="000000" w:themeColor="text1"/>
          <w:sz w:val="32"/>
          <w:szCs w:val="32"/>
          <w14:textFill>
            <w14:solidFill>
              <w14:schemeClr w14:val="tx1"/>
            </w14:solidFill>
          </w14:textFill>
        </w:rPr>
        <w:t>二</w:t>
      </w:r>
      <w:r>
        <w:rPr>
          <w:rFonts w:ascii="??_GB2312" w:eastAsia="Times New Roman"/>
          <w:color w:val="000000" w:themeColor="text1"/>
          <w:sz w:val="32"/>
          <w:szCs w:val="32"/>
          <w14:textFill>
            <w14:solidFill>
              <w14:schemeClr w14:val="tx1"/>
            </w14:solidFill>
          </w14:textFill>
        </w:rPr>
        <w:t>）法律法规规章规定不得聘为事业单位人员的。</w:t>
      </w:r>
    </w:p>
    <w:p>
      <w:pPr>
        <w:pStyle w:val="2"/>
        <w:rPr>
          <w:rFonts w:ascii="黑体" w:hAnsi="黑体" w:eastAsia="黑体" w:cs="黑体"/>
          <w:color w:val="000000" w:themeColor="text1"/>
          <w:sz w:val="32"/>
          <w:szCs w:val="32"/>
          <w14:textFill>
            <w14:solidFill>
              <w14:schemeClr w14:val="tx1"/>
            </w14:solidFill>
          </w14:textFill>
        </w:rPr>
      </w:pPr>
      <w:bookmarkStart w:id="30" w:name="_Toc6005"/>
      <w:bookmarkStart w:id="31" w:name="_Toc27877"/>
      <w:bookmarkStart w:id="32" w:name="_Toc28345"/>
      <w:bookmarkStart w:id="33" w:name="_Toc14770"/>
      <w:bookmarkStart w:id="34" w:name="_Toc24432"/>
      <w:bookmarkStart w:id="35" w:name="_Toc32418"/>
      <w:bookmarkStart w:id="36" w:name="_Toc9365"/>
      <w:r>
        <w:rPr>
          <w:rFonts w:hint="eastAsia" w:ascii="黑体" w:hAnsi="黑体" w:eastAsia="黑体" w:cs="黑体"/>
          <w:color w:val="000000" w:themeColor="text1"/>
          <w:sz w:val="32"/>
          <w:szCs w:val="32"/>
          <w14:textFill>
            <w14:solidFill>
              <w14:schemeClr w14:val="tx1"/>
            </w14:solidFill>
          </w14:textFill>
        </w:rPr>
        <w:t>三、选报岗位须知</w:t>
      </w:r>
      <w:bookmarkEnd w:id="30"/>
      <w:bookmarkEnd w:id="31"/>
      <w:bookmarkEnd w:id="32"/>
      <w:bookmarkEnd w:id="33"/>
      <w:bookmarkEnd w:id="34"/>
      <w:bookmarkEnd w:id="35"/>
      <w:bookmarkEnd w:id="36"/>
      <w:bookmarkStart w:id="37" w:name="_Toc2901"/>
      <w:bookmarkStart w:id="38" w:name="_Toc25581"/>
      <w:bookmarkStart w:id="39" w:name="_Toc9596"/>
    </w:p>
    <w:bookmarkEnd w:id="37"/>
    <w:bookmarkEnd w:id="38"/>
    <w:bookmarkEnd w:id="39"/>
    <w:p>
      <w:pPr>
        <w:pStyle w:val="2"/>
        <w:rPr>
          <w:rFonts w:ascii="楷体" w:hAnsi="楷体" w:eastAsia="楷体" w:cs="楷体"/>
          <w:color w:val="000000" w:themeColor="text1"/>
          <w:sz w:val="32"/>
          <w:szCs w:val="32"/>
          <w14:textFill>
            <w14:solidFill>
              <w14:schemeClr w14:val="tx1"/>
            </w14:solidFill>
          </w14:textFill>
        </w:rPr>
      </w:pPr>
      <w:bookmarkStart w:id="40" w:name="_Toc20515"/>
      <w:bookmarkStart w:id="41" w:name="_Toc8174"/>
      <w:bookmarkStart w:id="42" w:name="_Toc20139"/>
      <w:bookmarkStart w:id="43" w:name="_Toc18587"/>
      <w:bookmarkStart w:id="44" w:name="_Toc7637"/>
      <w:bookmarkStart w:id="45" w:name="_Toc31635"/>
      <w:bookmarkStart w:id="46" w:name="_Toc3161"/>
      <w:r>
        <w:rPr>
          <w:rFonts w:hint="eastAsia" w:ascii="楷体" w:hAnsi="楷体" w:eastAsia="楷体" w:cs="楷体"/>
          <w:color w:val="000000" w:themeColor="text1"/>
          <w:sz w:val="32"/>
          <w:szCs w:val="32"/>
          <w14:textFill>
            <w14:solidFill>
              <w14:schemeClr w14:val="tx1"/>
            </w14:solidFill>
          </w14:textFill>
        </w:rPr>
        <w:t>（一）照片</w:t>
      </w:r>
      <w:bookmarkEnd w:id="40"/>
      <w:bookmarkEnd w:id="41"/>
      <w:bookmarkEnd w:id="42"/>
      <w:bookmarkEnd w:id="43"/>
      <w:bookmarkEnd w:id="44"/>
      <w:bookmarkEnd w:id="45"/>
      <w:r>
        <w:rPr>
          <w:rFonts w:hint="eastAsia" w:ascii="楷体" w:hAnsi="楷体" w:eastAsia="楷体" w:cs="楷体"/>
          <w:color w:val="000000" w:themeColor="text1"/>
          <w:sz w:val="32"/>
          <w:szCs w:val="32"/>
          <w14:textFill>
            <w14:solidFill>
              <w14:schemeClr w14:val="tx1"/>
            </w14:solidFill>
          </w14:textFill>
        </w:rPr>
        <w:t>要求</w:t>
      </w:r>
      <w:bookmarkEnd w:id="46"/>
    </w:p>
    <w:p>
      <w:pPr>
        <w:ind w:firstLine="640" w:firstLineChars="200"/>
        <w:rPr>
          <w:rFonts w:ascii="??_GB2312" w:eastAsia="Times New Roman"/>
          <w:color w:val="000000" w:themeColor="text1"/>
          <w:sz w:val="32"/>
          <w:szCs w:val="32"/>
          <w14:textFill>
            <w14:solidFill>
              <w14:schemeClr w14:val="tx1"/>
            </w14:solidFill>
          </w14:textFill>
        </w:rPr>
      </w:pPr>
      <w:r>
        <w:rPr>
          <w:rFonts w:ascii="??_GB2312" w:eastAsia="Times New Roman"/>
          <w:color w:val="000000" w:themeColor="text1"/>
          <w:sz w:val="32"/>
          <w:szCs w:val="32"/>
          <w14:textFill>
            <w14:solidFill>
              <w14:schemeClr w14:val="tx1"/>
            </w14:solidFill>
          </w14:textFill>
        </w:rPr>
        <w:t>报考者应在报名时提交近期正面免冠二寸彩色数码证件照（jpg格式，规格200K以下）。以下为常见不合格照片：①着制式服装照；②着帽子或太醒目、夸张首饰等；③模糊不清晰的；④眼镜反光的；⑤明显不是个人照片的（如风景照、名人照等）；⑥随意自拍的半身照，全身照等无法看清楚脸的；⑦头发刘海遮挡面大的；⑧照片比例变形的；⑨手持证件的照片；⑩其他难以清晰辨认的。</w:t>
      </w:r>
    </w:p>
    <w:p>
      <w:pPr>
        <w:ind w:firstLine="640" w:firstLineChars="200"/>
        <w:rPr>
          <w:rFonts w:ascii="??_GB2312" w:eastAsia="Times New Roman"/>
          <w:color w:val="000000" w:themeColor="text1"/>
          <w:sz w:val="32"/>
          <w:szCs w:val="32"/>
          <w14:textFill>
            <w14:solidFill>
              <w14:schemeClr w14:val="tx1"/>
            </w14:solidFill>
          </w14:textFill>
        </w:rPr>
      </w:pPr>
      <w:r>
        <w:rPr>
          <w:rFonts w:ascii="??_GB2312" w:eastAsia="Times New Roman"/>
          <w:color w:val="000000" w:themeColor="text1"/>
          <w:sz w:val="32"/>
          <w:szCs w:val="32"/>
          <w14:textFill>
            <w14:solidFill>
              <w14:schemeClr w14:val="tx1"/>
            </w14:solidFill>
          </w14:textFill>
        </w:rPr>
        <w:t>报考者因未在时限内提交合格照片造成无法打印准考证的，视为自动放弃考试资格。</w:t>
      </w:r>
      <w:bookmarkStart w:id="47" w:name="_Toc1624"/>
      <w:bookmarkStart w:id="48" w:name="_Toc16906"/>
      <w:bookmarkStart w:id="49" w:name="_Toc21891"/>
    </w:p>
    <w:p>
      <w:pPr>
        <w:pStyle w:val="2"/>
        <w:rPr>
          <w:rFonts w:ascii="楷体" w:hAnsi="楷体" w:eastAsia="楷体" w:cs="楷体"/>
          <w:color w:val="000000" w:themeColor="text1"/>
          <w:sz w:val="32"/>
          <w:szCs w:val="32"/>
          <w14:textFill>
            <w14:solidFill>
              <w14:schemeClr w14:val="tx1"/>
            </w14:solidFill>
          </w14:textFill>
        </w:rPr>
      </w:pPr>
      <w:bookmarkStart w:id="50" w:name="_Toc25424"/>
      <w:bookmarkStart w:id="51" w:name="_Toc308"/>
      <w:r>
        <w:rPr>
          <w:rFonts w:hint="eastAsia" w:ascii="楷体" w:hAnsi="楷体" w:eastAsia="楷体" w:cs="楷体"/>
          <w:color w:val="000000" w:themeColor="text1"/>
          <w:sz w:val="32"/>
          <w:szCs w:val="32"/>
          <w14:textFill>
            <w14:solidFill>
              <w14:schemeClr w14:val="tx1"/>
            </w14:solidFill>
          </w14:textFill>
        </w:rPr>
        <w:t>（二）回避情形</w:t>
      </w:r>
      <w:bookmarkEnd w:id="47"/>
      <w:bookmarkEnd w:id="48"/>
      <w:bookmarkEnd w:id="49"/>
      <w:bookmarkEnd w:id="50"/>
      <w:bookmarkEnd w:id="51"/>
    </w:p>
    <w:p>
      <w:pPr>
        <w:ind w:firstLine="640" w:firstLineChars="200"/>
        <w:rPr>
          <w:rFonts w:ascii="??_GB2312" w:eastAsia="Times New Roman"/>
          <w:color w:val="000000" w:themeColor="text1"/>
          <w:sz w:val="32"/>
          <w:szCs w:val="32"/>
          <w14:textFill>
            <w14:solidFill>
              <w14:schemeClr w14:val="tx1"/>
            </w14:solidFill>
          </w14:textFill>
        </w:rPr>
      </w:pPr>
      <w:r>
        <w:rPr>
          <w:rFonts w:ascii="??_GB2312" w:eastAsia="Times New Roman"/>
          <w:color w:val="000000" w:themeColor="text1"/>
          <w:sz w:val="32"/>
          <w:szCs w:val="32"/>
          <w14:textFill>
            <w14:solidFill>
              <w14:schemeClr w14:val="tx1"/>
            </w14:solidFill>
          </w14:textFill>
        </w:rPr>
        <w:t>事业单位工作人员凡有下列亲属关系的，不得在同一事业单位聘用至具有直接上下级领导关系的管理岗位，不得在其中一方担任领导人员的事业单位聘用至从事组织(人事)、纪检监察、审计、财务工作的岗位，也不得聘用至双方直接隶属于同一领导人员的从事组织(人事)、纪检监察、审计、财务工作的内设机构正职岗位：</w:t>
      </w:r>
    </w:p>
    <w:p>
      <w:pPr>
        <w:ind w:firstLine="640" w:firstLineChars="200"/>
        <w:rPr>
          <w:rFonts w:ascii="??_GB2312" w:eastAsia="Times New Roman"/>
          <w:color w:val="000000" w:themeColor="text1"/>
          <w:sz w:val="32"/>
          <w:szCs w:val="32"/>
          <w14:textFill>
            <w14:solidFill>
              <w14:schemeClr w14:val="tx1"/>
            </w14:solidFill>
          </w14:textFill>
        </w:rPr>
      </w:pPr>
      <w:r>
        <w:rPr>
          <w:rFonts w:ascii="??_GB2312" w:eastAsia="Times New Roman"/>
          <w:color w:val="000000" w:themeColor="text1"/>
          <w:sz w:val="32"/>
          <w:szCs w:val="32"/>
          <w14:textFill>
            <w14:solidFill>
              <w14:schemeClr w14:val="tx1"/>
            </w14:solidFill>
          </w14:textFill>
        </w:rPr>
        <w:t>1.夫妻关系;</w:t>
      </w:r>
    </w:p>
    <w:p>
      <w:pPr>
        <w:ind w:firstLine="640" w:firstLineChars="200"/>
        <w:rPr>
          <w:rFonts w:ascii="??_GB2312" w:eastAsia="Times New Roman"/>
          <w:color w:val="000000" w:themeColor="text1"/>
          <w:sz w:val="32"/>
          <w:szCs w:val="32"/>
          <w14:textFill>
            <w14:solidFill>
              <w14:schemeClr w14:val="tx1"/>
            </w14:solidFill>
          </w14:textFill>
        </w:rPr>
      </w:pPr>
      <w:r>
        <w:rPr>
          <w:rFonts w:ascii="??_GB2312" w:eastAsia="Times New Roman"/>
          <w:color w:val="000000" w:themeColor="text1"/>
          <w:sz w:val="32"/>
          <w:szCs w:val="32"/>
          <w14:textFill>
            <w14:solidFill>
              <w14:schemeClr w14:val="tx1"/>
            </w14:solidFill>
          </w14:textFill>
        </w:rPr>
        <w:t>2.直系血亲关系，包括祖父母、外祖父母、父母、子女、孙子女、外孙子女;</w:t>
      </w:r>
    </w:p>
    <w:p>
      <w:pPr>
        <w:ind w:firstLine="640" w:firstLineChars="200"/>
        <w:rPr>
          <w:rFonts w:ascii="??_GB2312" w:eastAsia="Times New Roman"/>
          <w:color w:val="000000" w:themeColor="text1"/>
          <w:sz w:val="32"/>
          <w:szCs w:val="32"/>
          <w14:textFill>
            <w14:solidFill>
              <w14:schemeClr w14:val="tx1"/>
            </w14:solidFill>
          </w14:textFill>
        </w:rPr>
      </w:pPr>
      <w:r>
        <w:rPr>
          <w:rFonts w:ascii="??_GB2312" w:eastAsia="Times New Roman"/>
          <w:color w:val="000000" w:themeColor="text1"/>
          <w:sz w:val="32"/>
          <w:szCs w:val="32"/>
          <w14:textFill>
            <w14:solidFill>
              <w14:schemeClr w14:val="tx1"/>
            </w14:solidFill>
          </w14:textFill>
        </w:rPr>
        <w:t>3.三代以内旁系血亲关系，包括叔伯姑舅姨、兄弟姐妹、堂兄弟姐妹、表兄弟姐妹、侄子女、甥子女;</w:t>
      </w:r>
    </w:p>
    <w:p>
      <w:pPr>
        <w:ind w:firstLine="640" w:firstLineChars="200"/>
        <w:rPr>
          <w:rFonts w:ascii="??_GB2312" w:eastAsia="Times New Roman"/>
          <w:color w:val="000000" w:themeColor="text1"/>
          <w:sz w:val="32"/>
          <w:szCs w:val="32"/>
          <w14:textFill>
            <w14:solidFill>
              <w14:schemeClr w14:val="tx1"/>
            </w14:solidFill>
          </w14:textFill>
        </w:rPr>
      </w:pPr>
      <w:r>
        <w:rPr>
          <w:rFonts w:ascii="??_GB2312" w:eastAsia="Times New Roman"/>
          <w:color w:val="000000" w:themeColor="text1"/>
          <w:sz w:val="32"/>
          <w:szCs w:val="32"/>
          <w14:textFill>
            <w14:solidFill>
              <w14:schemeClr w14:val="tx1"/>
            </w14:solidFill>
          </w14:textFill>
        </w:rPr>
        <w:t>4.近姻亲关系，包括配偶的父母、配偶的兄弟姐妹及其配偶、子女的配偶及子女配偶的父母、三代以内旁系血亲的配偶;</w:t>
      </w:r>
    </w:p>
    <w:p>
      <w:pPr>
        <w:ind w:firstLine="640" w:firstLineChars="200"/>
        <w:rPr>
          <w:rFonts w:ascii="??_GB2312" w:eastAsia="Times New Roman"/>
          <w:color w:val="000000" w:themeColor="text1"/>
          <w:sz w:val="32"/>
          <w:szCs w:val="32"/>
          <w14:textFill>
            <w14:solidFill>
              <w14:schemeClr w14:val="tx1"/>
            </w14:solidFill>
          </w14:textFill>
        </w:rPr>
      </w:pPr>
      <w:r>
        <w:rPr>
          <w:rFonts w:ascii="??_GB2312" w:eastAsia="Times New Roman"/>
          <w:color w:val="000000" w:themeColor="text1"/>
          <w:sz w:val="32"/>
          <w:szCs w:val="32"/>
          <w14:textFill>
            <w14:solidFill>
              <w14:schemeClr w14:val="tx1"/>
            </w14:solidFill>
          </w14:textFill>
        </w:rPr>
        <w:t>5.其他亲属关系，包括养父母子女、形成抚养关系的继父母子女及由此形成的直系血亲、三代以内旁系血亲和近姻亲关系。</w:t>
      </w:r>
    </w:p>
    <w:p>
      <w:pPr>
        <w:ind w:firstLine="640" w:firstLineChars="200"/>
        <w:rPr>
          <w:rFonts w:ascii="??_GB2312" w:eastAsia="Times New Roman"/>
          <w:color w:val="000000" w:themeColor="text1"/>
          <w:sz w:val="32"/>
          <w:szCs w:val="32"/>
          <w14:textFill>
            <w14:solidFill>
              <w14:schemeClr w14:val="tx1"/>
            </w14:solidFill>
          </w14:textFill>
        </w:rPr>
      </w:pPr>
      <w:r>
        <w:rPr>
          <w:rFonts w:ascii="??_GB2312" w:eastAsia="Times New Roman"/>
          <w:color w:val="000000" w:themeColor="text1"/>
          <w:sz w:val="32"/>
          <w:szCs w:val="32"/>
          <w14:textFill>
            <w14:solidFill>
              <w14:schemeClr w14:val="tx1"/>
            </w14:solidFill>
          </w14:textFill>
        </w:rPr>
        <w:t>所称直接上下级领导关系包括：</w:t>
      </w:r>
    </w:p>
    <w:p>
      <w:pPr>
        <w:ind w:firstLine="640" w:firstLineChars="200"/>
        <w:rPr>
          <w:rFonts w:ascii="??_GB2312" w:eastAsia="Times New Roman"/>
          <w:color w:val="000000" w:themeColor="text1"/>
          <w:sz w:val="32"/>
          <w:szCs w:val="32"/>
          <w14:textFill>
            <w14:solidFill>
              <w14:schemeClr w14:val="tx1"/>
            </w14:solidFill>
          </w14:textFill>
        </w:rPr>
      </w:pPr>
      <w:r>
        <w:rPr>
          <w:rFonts w:ascii="??_GB2312" w:eastAsia="Times New Roman"/>
          <w:color w:val="000000" w:themeColor="text1"/>
          <w:sz w:val="32"/>
          <w:szCs w:val="32"/>
          <w14:textFill>
            <w14:solidFill>
              <w14:schemeClr w14:val="tx1"/>
            </w14:solidFill>
          </w14:textFill>
        </w:rPr>
        <w:t>1.领导班子正职与副职;</w:t>
      </w:r>
    </w:p>
    <w:p>
      <w:pPr>
        <w:ind w:firstLine="640" w:firstLineChars="200"/>
        <w:rPr>
          <w:rFonts w:ascii="??_GB2312" w:eastAsia="Times New Roman"/>
          <w:color w:val="000000" w:themeColor="text1"/>
          <w:sz w:val="32"/>
          <w:szCs w:val="32"/>
          <w14:textFill>
            <w14:solidFill>
              <w14:schemeClr w14:val="tx1"/>
            </w14:solidFill>
          </w14:textFill>
        </w:rPr>
      </w:pPr>
      <w:r>
        <w:rPr>
          <w:rFonts w:ascii="??_GB2312" w:eastAsia="Times New Roman"/>
          <w:color w:val="000000" w:themeColor="text1"/>
          <w:sz w:val="32"/>
          <w:szCs w:val="32"/>
          <w14:textFill>
            <w14:solidFill>
              <w14:schemeClr w14:val="tx1"/>
            </w14:solidFill>
          </w14:textFill>
        </w:rPr>
        <w:t>2.同一内设机构正职与副职;</w:t>
      </w:r>
    </w:p>
    <w:p>
      <w:pPr>
        <w:ind w:firstLine="640" w:firstLineChars="200"/>
        <w:rPr>
          <w:rFonts w:ascii="??_GB2312" w:eastAsia="Times New Roman"/>
          <w:color w:val="000000" w:themeColor="text1"/>
          <w:sz w:val="32"/>
          <w:szCs w:val="32"/>
          <w14:textFill>
            <w14:solidFill>
              <w14:schemeClr w14:val="tx1"/>
            </w14:solidFill>
          </w14:textFill>
        </w:rPr>
      </w:pPr>
      <w:r>
        <w:rPr>
          <w:rFonts w:ascii="??_GB2312" w:eastAsia="Times New Roman"/>
          <w:color w:val="000000" w:themeColor="text1"/>
          <w:sz w:val="32"/>
          <w:szCs w:val="32"/>
          <w14:textFill>
            <w14:solidFill>
              <w14:schemeClr w14:val="tx1"/>
            </w14:solidFill>
          </w14:textFill>
        </w:rPr>
        <w:t>3.上级正职、副职与下级正职;</w:t>
      </w:r>
    </w:p>
    <w:p>
      <w:pPr>
        <w:ind w:firstLine="640" w:firstLineChars="200"/>
        <w:rPr>
          <w:rFonts w:ascii="??_GB2312" w:eastAsia="Times New Roman"/>
          <w:color w:val="000000" w:themeColor="text1"/>
          <w:sz w:val="32"/>
          <w:szCs w:val="32"/>
          <w14:textFill>
            <w14:solidFill>
              <w14:schemeClr w14:val="tx1"/>
            </w14:solidFill>
          </w14:textFill>
        </w:rPr>
      </w:pPr>
      <w:r>
        <w:rPr>
          <w:rFonts w:ascii="??_GB2312" w:eastAsia="Times New Roman"/>
          <w:color w:val="000000" w:themeColor="text1"/>
          <w:sz w:val="32"/>
          <w:szCs w:val="32"/>
          <w14:textFill>
            <w14:solidFill>
              <w14:schemeClr w14:val="tx1"/>
            </w14:solidFill>
          </w14:textFill>
        </w:rPr>
        <w:t>4.单位无内设机构的，其正职、副职与其他管理人员以及从事审计、财务工作的专业技术人员;</w:t>
      </w:r>
    </w:p>
    <w:p>
      <w:pPr>
        <w:ind w:firstLine="640" w:firstLineChars="200"/>
        <w:rPr>
          <w:rFonts w:ascii="??_GB2312" w:eastAsia="Times New Roman"/>
          <w:color w:val="000000" w:themeColor="text1"/>
          <w:sz w:val="32"/>
          <w:szCs w:val="32"/>
          <w14:textFill>
            <w14:solidFill>
              <w14:schemeClr w14:val="tx1"/>
            </w14:solidFill>
          </w14:textFill>
        </w:rPr>
      </w:pPr>
      <w:r>
        <w:rPr>
          <w:rFonts w:ascii="??_GB2312" w:eastAsia="Times New Roman"/>
          <w:color w:val="000000" w:themeColor="text1"/>
          <w:sz w:val="32"/>
          <w:szCs w:val="32"/>
          <w14:textFill>
            <w14:solidFill>
              <w14:schemeClr w14:val="tx1"/>
            </w14:solidFill>
          </w14:textFill>
        </w:rPr>
        <w:t>5.内设机构无下一级单位的，其正职、副职与其他管理人员以及从事审计、财务工作的专业技术人员。</w:t>
      </w:r>
    </w:p>
    <w:p>
      <w:pPr>
        <w:ind w:firstLine="640" w:firstLineChars="200"/>
        <w:rPr>
          <w:rFonts w:ascii="??_GB2312" w:eastAsia="Times New Roman"/>
          <w:color w:val="000000" w:themeColor="text1"/>
          <w:sz w:val="32"/>
          <w:szCs w:val="32"/>
          <w14:textFill>
            <w14:solidFill>
              <w14:schemeClr w14:val="tx1"/>
            </w14:solidFill>
          </w14:textFill>
        </w:rPr>
      </w:pPr>
      <w:r>
        <w:rPr>
          <w:rFonts w:ascii="??_GB2312" w:eastAsia="Times New Roman"/>
          <w:color w:val="000000" w:themeColor="text1"/>
          <w:sz w:val="32"/>
          <w:szCs w:val="32"/>
          <w14:textFill>
            <w14:solidFill>
              <w14:schemeClr w14:val="tx1"/>
            </w14:solidFill>
          </w14:textFill>
        </w:rPr>
        <w:t>从事招聘工作的人员与应聘人员有上述亲属关系的，须实行履职回避。</w:t>
      </w:r>
    </w:p>
    <w:p>
      <w:pPr>
        <w:pStyle w:val="2"/>
        <w:rPr>
          <w:rFonts w:ascii="楷体" w:hAnsi="楷体" w:eastAsia="楷体" w:cs="楷体"/>
          <w:color w:val="000000" w:themeColor="text1"/>
          <w:sz w:val="32"/>
          <w:szCs w:val="32"/>
          <w14:textFill>
            <w14:solidFill>
              <w14:schemeClr w14:val="tx1"/>
            </w14:solidFill>
          </w14:textFill>
        </w:rPr>
      </w:pPr>
      <w:bookmarkStart w:id="52" w:name="_Toc31418"/>
      <w:bookmarkStart w:id="53" w:name="_Toc6547"/>
      <w:bookmarkStart w:id="54" w:name="_Toc28052"/>
      <w:bookmarkStart w:id="55" w:name="_Toc20101"/>
      <w:bookmarkStart w:id="56" w:name="_Toc29283"/>
      <w:bookmarkStart w:id="57" w:name="_Toc459"/>
      <w:bookmarkStart w:id="58" w:name="_Toc29376"/>
      <w:r>
        <w:rPr>
          <w:rFonts w:hint="eastAsia" w:ascii="楷体" w:hAnsi="楷体" w:eastAsia="楷体" w:cs="楷体"/>
          <w:color w:val="000000" w:themeColor="text1"/>
          <w:sz w:val="32"/>
          <w:szCs w:val="32"/>
          <w14:textFill>
            <w14:solidFill>
              <w14:schemeClr w14:val="tx1"/>
            </w14:solidFill>
          </w14:textFill>
        </w:rPr>
        <w:t>（三）</w:t>
      </w:r>
      <w:bookmarkStart w:id="59" w:name="_Toc19635_WPSOffice_Level1"/>
      <w:r>
        <w:rPr>
          <w:rFonts w:hint="eastAsia" w:ascii="楷体" w:hAnsi="楷体" w:eastAsia="楷体" w:cs="楷体"/>
          <w:color w:val="000000" w:themeColor="text1"/>
          <w:sz w:val="32"/>
          <w:szCs w:val="32"/>
          <w14:textFill>
            <w14:solidFill>
              <w14:schemeClr w14:val="tx1"/>
            </w14:solidFill>
          </w14:textFill>
        </w:rPr>
        <w:t>岗位开考</w:t>
      </w:r>
      <w:bookmarkEnd w:id="52"/>
      <w:bookmarkEnd w:id="53"/>
      <w:bookmarkEnd w:id="54"/>
      <w:bookmarkEnd w:id="55"/>
      <w:bookmarkEnd w:id="56"/>
      <w:bookmarkEnd w:id="57"/>
      <w:bookmarkEnd w:id="58"/>
      <w:bookmarkEnd w:id="59"/>
    </w:p>
    <w:p>
      <w:pPr>
        <w:ind w:firstLine="640" w:firstLineChars="200"/>
        <w:rPr>
          <w:rFonts w:ascii="??_GB2312" w:eastAsia="Times New Roman"/>
          <w:color w:val="000000" w:themeColor="text1"/>
          <w:sz w:val="32"/>
          <w:szCs w:val="32"/>
          <w14:textFill>
            <w14:solidFill>
              <w14:schemeClr w14:val="tx1"/>
            </w14:solidFill>
          </w14:textFill>
        </w:rPr>
      </w:pPr>
      <w:r>
        <w:rPr>
          <w:rFonts w:ascii="??_GB2312" w:eastAsia="Times New Roman"/>
          <w:color w:val="000000" w:themeColor="text1"/>
          <w:sz w:val="32"/>
          <w:szCs w:val="32"/>
          <w14:textFill>
            <w14:solidFill>
              <w14:schemeClr w14:val="tx1"/>
            </w14:solidFill>
          </w14:textFill>
        </w:rPr>
        <w:t>通过报名资格初审且</w:t>
      </w:r>
      <w:r>
        <w:rPr>
          <w:rFonts w:hint="eastAsia" w:ascii="??_GB2312" w:eastAsia="Times New Roman"/>
          <w:color w:val="000000" w:themeColor="text1"/>
          <w:sz w:val="32"/>
          <w:szCs w:val="32"/>
          <w14:textFill>
            <w14:solidFill>
              <w14:schemeClr w14:val="tx1"/>
            </w14:solidFill>
          </w14:textFill>
        </w:rPr>
        <w:t>完成考试确认</w:t>
      </w:r>
      <w:r>
        <w:rPr>
          <w:rFonts w:ascii="??_GB2312" w:eastAsia="Times New Roman"/>
          <w:color w:val="000000" w:themeColor="text1"/>
          <w:sz w:val="32"/>
          <w:szCs w:val="32"/>
          <w14:textFill>
            <w14:solidFill>
              <w14:schemeClr w14:val="tx1"/>
            </w14:solidFill>
          </w14:textFill>
        </w:rPr>
        <w:t>的人数与岗位拟聘人数比例达不到3:1的，原则上取消该岗位开考或相应减少招聘人数，情况确实特殊可以申请适当降低比例开考。</w:t>
      </w:r>
    </w:p>
    <w:p>
      <w:pPr>
        <w:ind w:firstLine="640" w:firstLineChars="200"/>
        <w:rPr>
          <w:rFonts w:ascii="??_GB2312" w:eastAsia="Times New Roman"/>
          <w:color w:val="000000" w:themeColor="text1"/>
          <w:sz w:val="32"/>
          <w:szCs w:val="32"/>
          <w14:textFill>
            <w14:solidFill>
              <w14:schemeClr w14:val="tx1"/>
            </w14:solidFill>
          </w14:textFill>
        </w:rPr>
      </w:pPr>
      <w:r>
        <w:rPr>
          <w:rFonts w:ascii="??_GB2312" w:eastAsia="Times New Roman"/>
          <w:color w:val="000000" w:themeColor="text1"/>
          <w:sz w:val="32"/>
          <w:szCs w:val="32"/>
          <w14:textFill>
            <w14:solidFill>
              <w14:schemeClr w14:val="tx1"/>
            </w14:solidFill>
          </w14:textFill>
        </w:rPr>
        <w:t>取消开考、减少招聘人数、降低开考比例的岗位，于报名工作结束，由招聘单位</w:t>
      </w:r>
      <w:r>
        <w:rPr>
          <w:rFonts w:hint="eastAsia" w:ascii="??_GB2312" w:eastAsia="Times New Roman"/>
          <w:color w:val="000000" w:themeColor="text1"/>
          <w:sz w:val="32"/>
          <w:szCs w:val="32"/>
          <w:lang w:eastAsia="zh-CN"/>
          <w14:textFill>
            <w14:solidFill>
              <w14:schemeClr w14:val="tx1"/>
            </w14:solidFill>
          </w14:textFill>
        </w:rPr>
        <w:t>提出意见经厦门医学院研究同意</w:t>
      </w:r>
      <w:r>
        <w:rPr>
          <w:rFonts w:ascii="??_GB2312" w:eastAsia="Times New Roman"/>
          <w:color w:val="000000" w:themeColor="text1"/>
          <w:sz w:val="32"/>
          <w:szCs w:val="32"/>
          <w14:textFill>
            <w14:solidFill>
              <w14:schemeClr w14:val="tx1"/>
            </w14:solidFill>
          </w14:textFill>
        </w:rPr>
        <w:t>后，在</w:t>
      </w:r>
      <w:r>
        <w:rPr>
          <w:rFonts w:hint="eastAsia" w:ascii="??_GB2312" w:eastAsia="Times New Roman"/>
          <w:color w:val="000000" w:themeColor="text1"/>
          <w:sz w:val="32"/>
          <w:szCs w:val="32"/>
          <w:lang w:eastAsia="zh-CN"/>
          <w14:textFill>
            <w14:solidFill>
              <w14:schemeClr w14:val="tx1"/>
            </w14:solidFill>
          </w14:textFill>
        </w:rPr>
        <w:t>厦门医学院官网</w:t>
      </w:r>
      <w:r>
        <w:rPr>
          <w:rFonts w:ascii="??_GB2312" w:eastAsia="Times New Roman"/>
          <w:color w:val="000000" w:themeColor="text1"/>
          <w:sz w:val="32"/>
          <w:szCs w:val="32"/>
          <w14:textFill>
            <w14:solidFill>
              <w14:schemeClr w14:val="tx1"/>
            </w14:solidFill>
          </w14:textFill>
        </w:rPr>
        <w:t>统一公告。</w:t>
      </w:r>
    </w:p>
    <w:p>
      <w:pPr>
        <w:pStyle w:val="2"/>
        <w:rPr>
          <w:rFonts w:ascii="黑体" w:hAnsi="黑体" w:eastAsia="黑体" w:cs="黑体"/>
          <w:color w:val="000000" w:themeColor="text1"/>
          <w:sz w:val="32"/>
          <w:szCs w:val="32"/>
          <w14:textFill>
            <w14:solidFill>
              <w14:schemeClr w14:val="tx1"/>
            </w14:solidFill>
          </w14:textFill>
        </w:rPr>
      </w:pPr>
      <w:bookmarkStart w:id="60" w:name="_Toc15831"/>
      <w:bookmarkStart w:id="61" w:name="_Toc13225"/>
      <w:bookmarkStart w:id="62" w:name="_Toc250"/>
      <w:bookmarkStart w:id="63" w:name="_Toc27094"/>
      <w:bookmarkStart w:id="64" w:name="_Toc14901"/>
      <w:bookmarkStart w:id="65" w:name="_Toc1152"/>
      <w:bookmarkStart w:id="66" w:name="_Toc1344"/>
      <w:r>
        <w:rPr>
          <w:rFonts w:hint="eastAsia" w:ascii="黑体" w:hAnsi="黑体" w:eastAsia="黑体" w:cs="黑体"/>
          <w:color w:val="000000" w:themeColor="text1"/>
          <w:sz w:val="32"/>
          <w:szCs w:val="32"/>
          <w14:textFill>
            <w14:solidFill>
              <w14:schemeClr w14:val="tx1"/>
            </w14:solidFill>
          </w14:textFill>
        </w:rPr>
        <w:t>四、资格复核</w:t>
      </w:r>
      <w:bookmarkEnd w:id="60"/>
      <w:bookmarkEnd w:id="61"/>
      <w:bookmarkEnd w:id="62"/>
      <w:bookmarkEnd w:id="63"/>
      <w:bookmarkEnd w:id="64"/>
      <w:bookmarkEnd w:id="65"/>
      <w:bookmarkEnd w:id="66"/>
    </w:p>
    <w:p>
      <w:pPr>
        <w:ind w:firstLine="640" w:firstLineChars="200"/>
        <w:rPr>
          <w:rFonts w:ascii="??_GB2312" w:eastAsia="Times New Roman"/>
          <w:color w:val="000000" w:themeColor="text1"/>
          <w:sz w:val="32"/>
          <w:szCs w:val="32"/>
          <w14:textFill>
            <w14:solidFill>
              <w14:schemeClr w14:val="tx1"/>
            </w14:solidFill>
          </w14:textFill>
        </w:rPr>
      </w:pPr>
      <w:r>
        <w:rPr>
          <w:rFonts w:ascii="??_GB2312" w:eastAsia="Times New Roman"/>
          <w:color w:val="000000" w:themeColor="text1"/>
          <w:sz w:val="32"/>
          <w:szCs w:val="32"/>
          <w14:textFill>
            <w14:solidFill>
              <w14:schemeClr w14:val="tx1"/>
            </w14:solidFill>
          </w14:textFill>
        </w:rPr>
        <w:t>资格复核由</w:t>
      </w:r>
      <w:r>
        <w:rPr>
          <w:rFonts w:hint="eastAsia" w:ascii="??_GB2312" w:eastAsia="Times New Roman"/>
          <w:color w:val="000000" w:themeColor="text1"/>
          <w:sz w:val="32"/>
          <w:szCs w:val="32"/>
          <w:lang w:eastAsia="zh-CN"/>
          <w14:textFill>
            <w14:solidFill>
              <w14:schemeClr w14:val="tx1"/>
            </w14:solidFill>
          </w14:textFill>
        </w:rPr>
        <w:t>招聘单位</w:t>
      </w:r>
      <w:r>
        <w:rPr>
          <w:rFonts w:ascii="??_GB2312" w:eastAsia="Times New Roman"/>
          <w:color w:val="000000" w:themeColor="text1"/>
          <w:sz w:val="32"/>
          <w:szCs w:val="32"/>
          <w14:textFill>
            <w14:solidFill>
              <w14:schemeClr w14:val="tx1"/>
            </w14:solidFill>
          </w14:textFill>
        </w:rPr>
        <w:t>负责组织。资格复核时，考生应提供以下资料的原件及复印件，复印件</w:t>
      </w:r>
      <w:r>
        <w:rPr>
          <w:rFonts w:hint="eastAsia" w:ascii="??_GB2312" w:eastAsia="Times New Roman"/>
          <w:color w:val="000000" w:themeColor="text1"/>
          <w:sz w:val="32"/>
          <w:szCs w:val="32"/>
          <w14:textFill>
            <w14:solidFill>
              <w14:schemeClr w14:val="tx1"/>
            </w14:solidFill>
          </w14:textFill>
        </w:rPr>
        <w:t>需</w:t>
      </w:r>
      <w:r>
        <w:rPr>
          <w:rFonts w:ascii="??_GB2312" w:eastAsia="Times New Roman"/>
          <w:color w:val="000000" w:themeColor="text1"/>
          <w:sz w:val="32"/>
          <w:szCs w:val="32"/>
          <w14:textFill>
            <w14:solidFill>
              <w14:schemeClr w14:val="tx1"/>
            </w14:solidFill>
          </w14:textFill>
        </w:rPr>
        <w:t>依序装订成册（一式2份）：</w:t>
      </w:r>
    </w:p>
    <w:p>
      <w:pPr>
        <w:ind w:firstLine="640" w:firstLineChars="200"/>
        <w:rPr>
          <w:rFonts w:ascii="??_GB2312" w:eastAsia="Times New Roman"/>
          <w:color w:val="000000" w:themeColor="text1"/>
          <w:sz w:val="32"/>
          <w:szCs w:val="32"/>
          <w14:textFill>
            <w14:solidFill>
              <w14:schemeClr w14:val="tx1"/>
            </w14:solidFill>
          </w14:textFill>
        </w:rPr>
      </w:pPr>
      <w:r>
        <w:rPr>
          <w:rFonts w:ascii="??_GB2312" w:eastAsia="Times New Roman"/>
          <w:color w:val="000000" w:themeColor="text1"/>
          <w:sz w:val="32"/>
          <w:szCs w:val="32"/>
          <w14:textFill>
            <w14:solidFill>
              <w14:schemeClr w14:val="tx1"/>
            </w14:solidFill>
          </w14:textFill>
        </w:rPr>
        <w:t>（一）2021届毕业生：报名表、准考证（或免笔试通知书）、本人有效身份证、个人简历、《就业推荐表》或学校开具的其他</w:t>
      </w:r>
      <w:r>
        <w:rPr>
          <w:rFonts w:hint="eastAsia" w:ascii="??_GB2312" w:eastAsia="Times New Roman"/>
          <w:color w:val="000000" w:themeColor="text1"/>
          <w:sz w:val="32"/>
          <w:szCs w:val="32"/>
          <w14:textFill>
            <w14:solidFill>
              <w14:schemeClr w14:val="tx1"/>
            </w14:solidFill>
          </w14:textFill>
        </w:rPr>
        <w:t>能</w:t>
      </w:r>
      <w:r>
        <w:rPr>
          <w:rFonts w:ascii="??_GB2312" w:eastAsia="Times New Roman"/>
          <w:color w:val="000000" w:themeColor="text1"/>
          <w:sz w:val="32"/>
          <w:szCs w:val="32"/>
          <w14:textFill>
            <w14:solidFill>
              <w14:schemeClr w14:val="tx1"/>
            </w14:solidFill>
          </w14:textFill>
        </w:rPr>
        <w:t>证明2021届毕业生身份的材料、承诺书（</w:t>
      </w:r>
      <w:r>
        <w:rPr>
          <w:rFonts w:hint="eastAsia" w:ascii="??_GB2312" w:eastAsia="Times New Roman"/>
          <w:color w:val="000000" w:themeColor="text1"/>
          <w:sz w:val="32"/>
          <w:szCs w:val="32"/>
          <w14:textFill>
            <w14:solidFill>
              <w14:schemeClr w14:val="tx1"/>
            </w14:solidFill>
          </w14:textFill>
        </w:rPr>
        <w:t>详见</w:t>
      </w:r>
      <w:r>
        <w:rPr>
          <w:rFonts w:ascii="??_GB2312" w:eastAsia="Times New Roman"/>
          <w:color w:val="000000" w:themeColor="text1"/>
          <w:sz w:val="32"/>
          <w:szCs w:val="32"/>
          <w14:textFill>
            <w14:solidFill>
              <w14:schemeClr w14:val="tx1"/>
            </w14:solidFill>
          </w14:textFill>
        </w:rPr>
        <w:t>附件）以及岗位资格条件要求的其他材料。</w:t>
      </w:r>
    </w:p>
    <w:p>
      <w:pPr>
        <w:ind w:firstLine="640" w:firstLineChars="200"/>
        <w:rPr>
          <w:rFonts w:ascii="??_GB2312" w:eastAsia="Times New Roman"/>
          <w:color w:val="000000" w:themeColor="text1"/>
          <w:sz w:val="32"/>
          <w:szCs w:val="32"/>
          <w14:textFill>
            <w14:solidFill>
              <w14:schemeClr w14:val="tx1"/>
            </w14:solidFill>
          </w14:textFill>
        </w:rPr>
      </w:pPr>
      <w:r>
        <w:rPr>
          <w:rFonts w:ascii="??_GB2312" w:eastAsia="Times New Roman"/>
          <w:color w:val="000000" w:themeColor="text1"/>
          <w:sz w:val="32"/>
          <w:szCs w:val="32"/>
          <w14:textFill>
            <w14:solidFill>
              <w14:schemeClr w14:val="tx1"/>
            </w14:solidFill>
          </w14:textFill>
        </w:rPr>
        <w:t>（二）其他人员：报名表、准考证（或免笔试通知书）、本人有效身份证、个人简历、学历（位）证以及岗位资格条件要求的其他材料。其中：</w:t>
      </w:r>
    </w:p>
    <w:p>
      <w:pPr>
        <w:ind w:firstLine="640" w:firstLineChars="200"/>
        <w:rPr>
          <w:rFonts w:ascii="??_GB2312" w:eastAsia="Times New Roman"/>
          <w:color w:val="000000" w:themeColor="text1"/>
          <w:sz w:val="32"/>
          <w:szCs w:val="32"/>
          <w14:textFill>
            <w14:solidFill>
              <w14:schemeClr w14:val="tx1"/>
            </w14:solidFill>
          </w14:textFill>
        </w:rPr>
      </w:pPr>
      <w:r>
        <w:rPr>
          <w:rFonts w:ascii="??_GB2312" w:eastAsia="Times New Roman"/>
          <w:color w:val="000000" w:themeColor="text1"/>
          <w:sz w:val="32"/>
          <w:szCs w:val="32"/>
          <w14:textFill>
            <w14:solidFill>
              <w14:schemeClr w14:val="tx1"/>
            </w14:solidFill>
          </w14:textFill>
        </w:rPr>
        <w:t>1.按岗位资格条件以应届</w:t>
      </w:r>
      <w:r>
        <w:rPr>
          <w:rFonts w:hint="eastAsia" w:ascii="??_GB2312" w:eastAsia="Times New Roman"/>
          <w:color w:val="000000" w:themeColor="text1"/>
          <w:sz w:val="32"/>
          <w:szCs w:val="32"/>
          <w14:textFill>
            <w14:solidFill>
              <w14:schemeClr w14:val="tx1"/>
            </w14:solidFill>
          </w14:textFill>
        </w:rPr>
        <w:t>高校</w:t>
      </w:r>
      <w:r>
        <w:rPr>
          <w:rFonts w:ascii="??_GB2312" w:eastAsia="Times New Roman"/>
          <w:color w:val="000000" w:themeColor="text1"/>
          <w:sz w:val="32"/>
          <w:szCs w:val="32"/>
          <w14:textFill>
            <w14:solidFill>
              <w14:schemeClr w14:val="tx1"/>
            </w14:solidFill>
          </w14:textFill>
        </w:rPr>
        <w:t>毕业生身份</w:t>
      </w:r>
      <w:r>
        <w:rPr>
          <w:rFonts w:hint="eastAsia" w:ascii="??_GB2312" w:eastAsia="Times New Roman"/>
          <w:color w:val="000000" w:themeColor="text1"/>
          <w:sz w:val="32"/>
          <w:szCs w:val="32"/>
          <w14:textFill>
            <w14:solidFill>
              <w14:schemeClr w14:val="tx1"/>
            </w14:solidFill>
          </w14:textFill>
        </w:rPr>
        <w:t>（不含</w:t>
      </w:r>
      <w:r>
        <w:rPr>
          <w:rFonts w:ascii="??_GB2312" w:eastAsia="Times New Roman"/>
          <w:color w:val="000000" w:themeColor="text1"/>
          <w:sz w:val="32"/>
          <w:szCs w:val="32"/>
          <w14:textFill>
            <w14:solidFill>
              <w14:schemeClr w14:val="tx1"/>
            </w14:solidFill>
          </w14:textFill>
        </w:rPr>
        <w:t>2021</w:t>
      </w:r>
      <w:r>
        <w:rPr>
          <w:rFonts w:hint="eastAsia" w:ascii="??_GB2312" w:eastAsia="Times New Roman"/>
          <w:color w:val="000000" w:themeColor="text1"/>
          <w:sz w:val="32"/>
          <w:szCs w:val="32"/>
          <w14:textFill>
            <w14:solidFill>
              <w14:schemeClr w14:val="tx1"/>
            </w14:solidFill>
          </w14:textFill>
        </w:rPr>
        <w:t>届毕业生，具体界定详见本指南第十四章第四款）</w:t>
      </w:r>
      <w:r>
        <w:rPr>
          <w:rFonts w:ascii="??_GB2312" w:eastAsia="Times New Roman"/>
          <w:color w:val="000000" w:themeColor="text1"/>
          <w:sz w:val="32"/>
          <w:szCs w:val="32"/>
          <w14:textFill>
            <w14:solidFill>
              <w14:schemeClr w14:val="tx1"/>
            </w14:solidFill>
          </w14:textFill>
        </w:rPr>
        <w:t>报考的，还须提供原毕业学校或各级毕业生就业主管部门(毕业生就业指导服务中心)或各级人才交流服务机构或各级公共就业服务机构出具的证明材料。</w:t>
      </w:r>
    </w:p>
    <w:p>
      <w:pPr>
        <w:ind w:firstLine="640" w:firstLineChars="200"/>
        <w:rPr>
          <w:rFonts w:ascii="??_GB2312" w:eastAsia="Times New Roman"/>
          <w:color w:val="000000" w:themeColor="text1"/>
          <w:sz w:val="32"/>
          <w:szCs w:val="32"/>
          <w14:textFill>
            <w14:solidFill>
              <w14:schemeClr w14:val="tx1"/>
            </w14:solidFill>
          </w14:textFill>
        </w:rPr>
      </w:pPr>
      <w:r>
        <w:rPr>
          <w:rFonts w:ascii="??_GB2312" w:eastAsia="Times New Roman"/>
          <w:color w:val="000000" w:themeColor="text1"/>
          <w:sz w:val="32"/>
          <w:szCs w:val="32"/>
          <w14:textFill>
            <w14:solidFill>
              <w14:schemeClr w14:val="tx1"/>
            </w14:solidFill>
          </w14:textFill>
        </w:rPr>
        <w:t>2.福建省内机关、事业单位、公立医疗卫生机构工作人员（含军队的医疗机构</w:t>
      </w:r>
      <w:r>
        <w:rPr>
          <w:rFonts w:hint="eastAsia" w:ascii="??_GB2312" w:eastAsia="Times New Roman"/>
          <w:color w:val="000000" w:themeColor="text1"/>
          <w:sz w:val="32"/>
          <w:szCs w:val="32"/>
          <w14:textFill>
            <w14:solidFill>
              <w14:schemeClr w14:val="tx1"/>
            </w14:solidFill>
          </w14:textFill>
        </w:rPr>
        <w:t>人员，不含辅助、派遣性质人员</w:t>
      </w:r>
      <w:r>
        <w:rPr>
          <w:rFonts w:ascii="??_GB2312" w:eastAsia="Times New Roman"/>
          <w:color w:val="000000" w:themeColor="text1"/>
          <w:sz w:val="32"/>
          <w:szCs w:val="32"/>
          <w14:textFill>
            <w14:solidFill>
              <w14:schemeClr w14:val="tx1"/>
            </w14:solidFill>
          </w14:textFill>
        </w:rPr>
        <w:t>）需征得所在单位同意方可报名，并需在资格复核时提供所在单位人事主管部门出具的同意报考书面证明（或已与单位解除劳动、聘用合同关系证明）；若暂时无法提供的，经招聘单位同意后可延至体检前提交，如体检前仍无法提交的，视为自动放弃体检资格。</w:t>
      </w:r>
    </w:p>
    <w:p>
      <w:pPr>
        <w:pStyle w:val="2"/>
        <w:rPr>
          <w:rFonts w:ascii="黑体" w:hAnsi="黑体" w:eastAsia="黑体" w:cs="黑体"/>
          <w:color w:val="000000" w:themeColor="text1"/>
          <w:sz w:val="32"/>
          <w:szCs w:val="32"/>
          <w14:textFill>
            <w14:solidFill>
              <w14:schemeClr w14:val="tx1"/>
            </w14:solidFill>
          </w14:textFill>
        </w:rPr>
      </w:pPr>
      <w:bookmarkStart w:id="67" w:name="_Toc18301"/>
      <w:bookmarkStart w:id="68" w:name="_Toc26712"/>
      <w:bookmarkStart w:id="69" w:name="_Toc16408"/>
      <w:bookmarkStart w:id="70" w:name="_Toc15383"/>
      <w:bookmarkStart w:id="71" w:name="_Toc30212"/>
      <w:bookmarkStart w:id="72" w:name="_Toc16925"/>
      <w:bookmarkStart w:id="73" w:name="_Toc12038"/>
      <w:r>
        <w:rPr>
          <w:rFonts w:hint="eastAsia" w:ascii="黑体" w:hAnsi="黑体" w:eastAsia="黑体" w:cs="黑体"/>
          <w:color w:val="000000" w:themeColor="text1"/>
          <w:sz w:val="32"/>
          <w:szCs w:val="32"/>
          <w14:textFill>
            <w14:solidFill>
              <w14:schemeClr w14:val="tx1"/>
            </w14:solidFill>
          </w14:textFill>
        </w:rPr>
        <w:t>五、年龄、资格（历）等的计算办法</w:t>
      </w:r>
      <w:bookmarkEnd w:id="67"/>
      <w:bookmarkEnd w:id="68"/>
      <w:bookmarkEnd w:id="69"/>
      <w:bookmarkEnd w:id="70"/>
      <w:bookmarkEnd w:id="71"/>
      <w:bookmarkEnd w:id="72"/>
      <w:bookmarkEnd w:id="73"/>
    </w:p>
    <w:p>
      <w:pPr>
        <w:ind w:firstLine="640" w:firstLineChars="200"/>
        <w:rPr>
          <w:rFonts w:ascii="??_GB2312" w:eastAsia="Times New Roman"/>
          <w:color w:val="000000" w:themeColor="text1"/>
          <w:sz w:val="32"/>
          <w:szCs w:val="32"/>
          <w14:textFill>
            <w14:solidFill>
              <w14:schemeClr w14:val="tx1"/>
            </w14:solidFill>
          </w14:textFill>
        </w:rPr>
      </w:pPr>
      <w:r>
        <w:rPr>
          <w:rFonts w:ascii="??_GB2312" w:eastAsia="Times New Roman"/>
          <w:color w:val="000000" w:themeColor="text1"/>
          <w:sz w:val="32"/>
          <w:szCs w:val="32"/>
          <w14:textFill>
            <w14:solidFill>
              <w14:schemeClr w14:val="tx1"/>
            </w14:solidFill>
          </w14:textFill>
        </w:rPr>
        <w:t>如无特别说明，相关年限的计算、证书取得时间等，均指计算截至报名截止当月。</w:t>
      </w:r>
    </w:p>
    <w:p>
      <w:pPr>
        <w:pStyle w:val="2"/>
        <w:rPr>
          <w:rFonts w:ascii="楷体" w:hAnsi="楷体" w:eastAsia="楷体" w:cs="楷体"/>
          <w:color w:val="000000" w:themeColor="text1"/>
          <w:sz w:val="32"/>
          <w:szCs w:val="32"/>
          <w14:textFill>
            <w14:solidFill>
              <w14:schemeClr w14:val="tx1"/>
            </w14:solidFill>
          </w14:textFill>
        </w:rPr>
      </w:pPr>
      <w:bookmarkStart w:id="74" w:name="_Toc25286"/>
      <w:r>
        <w:rPr>
          <w:rFonts w:hint="eastAsia" w:ascii="楷体" w:hAnsi="楷体" w:eastAsia="楷体" w:cs="楷体"/>
          <w:color w:val="000000" w:themeColor="text1"/>
          <w:sz w:val="32"/>
          <w:szCs w:val="32"/>
          <w14:textFill>
            <w14:solidFill>
              <w14:schemeClr w14:val="tx1"/>
            </w14:solidFill>
          </w14:textFill>
        </w:rPr>
        <w:t>（一）年龄</w:t>
      </w:r>
      <w:bookmarkEnd w:id="74"/>
    </w:p>
    <w:p>
      <w:pPr>
        <w:ind w:firstLine="640" w:firstLineChars="200"/>
        <w:rPr>
          <w:rFonts w:ascii="??_GB2312" w:eastAsia="Times New Roman"/>
          <w:color w:val="000000" w:themeColor="text1"/>
          <w:sz w:val="32"/>
          <w:szCs w:val="32"/>
          <w14:textFill>
            <w14:solidFill>
              <w14:schemeClr w14:val="tx1"/>
            </w14:solidFill>
          </w14:textFill>
        </w:rPr>
      </w:pPr>
      <w:bookmarkStart w:id="75" w:name="_Toc27137"/>
      <w:r>
        <w:rPr>
          <w:rFonts w:ascii="??_GB2312" w:eastAsia="Times New Roman"/>
          <w:color w:val="000000" w:themeColor="text1"/>
          <w:sz w:val="32"/>
          <w:szCs w:val="32"/>
          <w14:textFill>
            <w14:solidFill>
              <w14:schemeClr w14:val="tx1"/>
            </w14:solidFill>
          </w14:textFill>
        </w:rPr>
        <w:t>岗位资格条件要求的最高年龄35周岁是指18周岁以上、35周岁以下（即在1985年4月至2003年4月间出生人员），其他最高年龄要求的计算方法以此类推。</w:t>
      </w:r>
    </w:p>
    <w:p>
      <w:pPr>
        <w:pStyle w:val="2"/>
        <w:rPr>
          <w:rFonts w:ascii="楷体" w:hAnsi="楷体" w:eastAsia="楷体" w:cs="楷体"/>
          <w:color w:val="000000" w:themeColor="text1"/>
          <w:sz w:val="32"/>
          <w:szCs w:val="32"/>
          <w14:textFill>
            <w14:solidFill>
              <w14:schemeClr w14:val="tx1"/>
            </w14:solidFill>
          </w14:textFill>
        </w:rPr>
      </w:pPr>
      <w:r>
        <w:rPr>
          <w:rFonts w:hint="eastAsia" w:ascii="楷体" w:hAnsi="楷体" w:eastAsia="楷体" w:cs="楷体"/>
          <w:color w:val="000000" w:themeColor="text1"/>
          <w:sz w:val="32"/>
          <w:szCs w:val="32"/>
          <w14:textFill>
            <w14:solidFill>
              <w14:schemeClr w14:val="tx1"/>
            </w14:solidFill>
          </w14:textFill>
        </w:rPr>
        <w:t>（二）资格（历）等</w:t>
      </w:r>
      <w:bookmarkEnd w:id="75"/>
    </w:p>
    <w:p>
      <w:pPr>
        <w:ind w:firstLine="640" w:firstLineChars="200"/>
        <w:rPr>
          <w:rFonts w:ascii="??_GB2312" w:eastAsia="Times New Roman"/>
          <w:color w:val="000000" w:themeColor="text1"/>
          <w:sz w:val="32"/>
          <w:szCs w:val="32"/>
          <w14:textFill>
            <w14:solidFill>
              <w14:schemeClr w14:val="tx1"/>
            </w14:solidFill>
          </w14:textFill>
        </w:rPr>
      </w:pPr>
      <w:bookmarkStart w:id="76" w:name="_Toc14196"/>
      <w:bookmarkStart w:id="77" w:name="_Toc30031"/>
      <w:bookmarkStart w:id="78" w:name="_Toc3272"/>
      <w:bookmarkStart w:id="79" w:name="_Toc21060"/>
      <w:bookmarkStart w:id="80" w:name="_Toc8761"/>
      <w:bookmarkStart w:id="81" w:name="_Toc20934"/>
      <w:bookmarkStart w:id="82" w:name="_Toc3023"/>
      <w:r>
        <w:rPr>
          <w:rFonts w:ascii="??_GB2312" w:eastAsia="Times New Roman"/>
          <w:color w:val="000000" w:themeColor="text1"/>
          <w:sz w:val="32"/>
          <w:szCs w:val="32"/>
          <w14:textFill>
            <w14:solidFill>
              <w14:schemeClr w14:val="tx1"/>
            </w14:solidFill>
          </w14:textFill>
        </w:rPr>
        <w:t>岗位要求具有“XX条件以上”的，如无特别说明，是指具有XX条件或XX条件以上所有条件中任何一个即可。如：具有2年以上工作经验指具有2年或2年以上工作经验；取得初级以上专业技术职务任职资格指取得初级、中级或高级专业技术职务任职资格中的任何一项或其中两项或三项均可。</w:t>
      </w:r>
    </w:p>
    <w:p>
      <w:pPr>
        <w:pStyle w:val="2"/>
        <w:rPr>
          <w:rFonts w:ascii="黑体" w:hAnsi="黑体" w:eastAsia="黑体" w:cs="黑体"/>
          <w:color w:val="000000" w:themeColor="text1"/>
          <w:sz w:val="32"/>
          <w:szCs w:val="32"/>
          <w14:textFill>
            <w14:solidFill>
              <w14:schemeClr w14:val="tx1"/>
            </w14:solidFill>
          </w14:textFill>
        </w:rPr>
      </w:pPr>
      <w:bookmarkStart w:id="83" w:name="_六、学历（位）认定"/>
      <w:r>
        <w:rPr>
          <w:rFonts w:hint="eastAsia" w:ascii="黑体" w:hAnsi="黑体" w:eastAsia="黑体" w:cs="黑体"/>
          <w:color w:val="000000" w:themeColor="text1"/>
          <w:sz w:val="32"/>
          <w:szCs w:val="32"/>
          <w14:textFill>
            <w14:solidFill>
              <w14:schemeClr w14:val="tx1"/>
            </w14:solidFill>
          </w14:textFill>
        </w:rPr>
        <w:t>六、学历（位）认定</w:t>
      </w:r>
      <w:bookmarkEnd w:id="76"/>
      <w:bookmarkEnd w:id="77"/>
      <w:bookmarkEnd w:id="78"/>
      <w:bookmarkEnd w:id="79"/>
      <w:bookmarkEnd w:id="80"/>
      <w:bookmarkEnd w:id="81"/>
      <w:bookmarkEnd w:id="82"/>
    </w:p>
    <w:bookmarkEnd w:id="83"/>
    <w:p>
      <w:pPr>
        <w:ind w:firstLine="640" w:firstLineChars="200"/>
        <w:rPr>
          <w:rFonts w:ascii="??_GB2312" w:eastAsia="Times New Roman"/>
          <w:color w:val="000000" w:themeColor="text1"/>
          <w:sz w:val="32"/>
          <w:szCs w:val="32"/>
          <w14:textFill>
            <w14:solidFill>
              <w14:schemeClr w14:val="tx1"/>
            </w14:solidFill>
          </w14:textFill>
        </w:rPr>
      </w:pPr>
      <w:bookmarkStart w:id="84" w:name="_Toc1390"/>
      <w:bookmarkStart w:id="85" w:name="_Toc15609"/>
      <w:bookmarkStart w:id="86" w:name="_Toc15768"/>
      <w:bookmarkStart w:id="87" w:name="_Toc26083"/>
      <w:bookmarkStart w:id="88" w:name="_Toc21436"/>
      <w:bookmarkStart w:id="89" w:name="_Toc18537"/>
      <w:bookmarkStart w:id="90" w:name="_Toc31141"/>
      <w:r>
        <w:rPr>
          <w:rFonts w:ascii="??_GB2312" w:eastAsia="Times New Roman"/>
          <w:color w:val="000000" w:themeColor="text1"/>
          <w:sz w:val="32"/>
          <w:szCs w:val="32"/>
          <w14:textFill>
            <w14:solidFill>
              <w14:schemeClr w14:val="tx1"/>
            </w14:solidFill>
          </w14:textFill>
        </w:rPr>
        <w:t>岗位资格条件要求的学历(位)须是国家承认的国民教育毕业学历(位)。</w:t>
      </w:r>
    </w:p>
    <w:p>
      <w:pPr>
        <w:pStyle w:val="2"/>
        <w:rPr>
          <w:rFonts w:ascii="楷体" w:hAnsi="楷体" w:eastAsia="楷体" w:cs="楷体"/>
          <w:color w:val="000000" w:themeColor="text1"/>
          <w:sz w:val="32"/>
          <w:szCs w:val="32"/>
          <w14:textFill>
            <w14:solidFill>
              <w14:schemeClr w14:val="tx1"/>
            </w14:solidFill>
          </w14:textFill>
        </w:rPr>
      </w:pPr>
      <w:bookmarkStart w:id="91" w:name="_（一）境内学历（位）"/>
      <w:r>
        <w:rPr>
          <w:rFonts w:hint="eastAsia" w:ascii="楷体" w:hAnsi="楷体" w:eastAsia="楷体" w:cs="楷体"/>
          <w:color w:val="000000" w:themeColor="text1"/>
          <w:sz w:val="32"/>
          <w:szCs w:val="32"/>
          <w14:textFill>
            <w14:solidFill>
              <w14:schemeClr w14:val="tx1"/>
            </w14:solidFill>
          </w14:textFill>
        </w:rPr>
        <w:t>（一）境内学历（位）</w:t>
      </w:r>
      <w:bookmarkEnd w:id="84"/>
      <w:bookmarkEnd w:id="85"/>
      <w:bookmarkEnd w:id="86"/>
      <w:bookmarkEnd w:id="87"/>
      <w:bookmarkEnd w:id="88"/>
      <w:bookmarkEnd w:id="89"/>
      <w:bookmarkEnd w:id="90"/>
    </w:p>
    <w:bookmarkEnd w:id="91"/>
    <w:p>
      <w:pPr>
        <w:ind w:firstLine="640" w:firstLineChars="200"/>
        <w:rPr>
          <w:rFonts w:ascii="??_GB2312" w:eastAsia="Times New Roman"/>
          <w:color w:val="000000" w:themeColor="text1"/>
          <w:sz w:val="32"/>
          <w:szCs w:val="32"/>
          <w14:textFill>
            <w14:solidFill>
              <w14:schemeClr w14:val="tx1"/>
            </w14:solidFill>
          </w14:textFill>
        </w:rPr>
      </w:pPr>
      <w:bookmarkStart w:id="92" w:name="_Toc12445"/>
      <w:bookmarkStart w:id="93" w:name="_Toc12784"/>
      <w:bookmarkStart w:id="94" w:name="_Toc20018"/>
      <w:bookmarkStart w:id="95" w:name="_Toc23500"/>
      <w:bookmarkStart w:id="96" w:name="_Toc6283"/>
      <w:bookmarkStart w:id="97" w:name="_Toc28427"/>
      <w:bookmarkStart w:id="98" w:name="_Toc25204"/>
      <w:r>
        <w:rPr>
          <w:rFonts w:ascii="??_GB2312" w:eastAsia="Times New Roman"/>
          <w:color w:val="000000" w:themeColor="text1"/>
          <w:sz w:val="32"/>
          <w:szCs w:val="32"/>
          <w14:textFill>
            <w14:solidFill>
              <w14:schemeClr w14:val="tx1"/>
            </w14:solidFill>
          </w14:textFill>
        </w:rPr>
        <w:t>用于报考的学历（含自学考试、成人教育、网络教育、夜大、电大等）应在中国高等教育学生信息网(简称学信网，</w:t>
      </w:r>
      <w:r>
        <w:rPr>
          <w:rFonts w:ascii="??_GB2312" w:eastAsia="Times New Roman"/>
          <w:color w:val="000000" w:themeColor="text1"/>
          <w:sz w:val="32"/>
          <w:szCs w:val="32"/>
          <w14:textFill>
            <w14:solidFill>
              <w14:schemeClr w14:val="tx1"/>
            </w14:solidFill>
          </w14:textFill>
        </w:rPr>
        <w:fldChar w:fldCharType="begin"/>
      </w:r>
      <w:r>
        <w:rPr>
          <w:rFonts w:ascii="??_GB2312" w:eastAsia="Times New Roman"/>
          <w:color w:val="000000" w:themeColor="text1"/>
          <w:sz w:val="32"/>
          <w:szCs w:val="32"/>
          <w14:textFill>
            <w14:solidFill>
              <w14:schemeClr w14:val="tx1"/>
            </w14:solidFill>
          </w14:textFill>
        </w:rPr>
        <w:instrText xml:space="preserve"> HYPERLINK "http://www.chsi.com.cn/" \h </w:instrText>
      </w:r>
      <w:r>
        <w:rPr>
          <w:rFonts w:ascii="??_GB2312" w:eastAsia="Times New Roman"/>
          <w:color w:val="000000" w:themeColor="text1"/>
          <w:sz w:val="32"/>
          <w:szCs w:val="32"/>
          <w14:textFill>
            <w14:solidFill>
              <w14:schemeClr w14:val="tx1"/>
            </w14:solidFill>
          </w14:textFill>
        </w:rPr>
        <w:fldChar w:fldCharType="separate"/>
      </w:r>
      <w:r>
        <w:rPr>
          <w:rFonts w:ascii="??_GB2312" w:eastAsia="Times New Roman"/>
          <w:color w:val="000000" w:themeColor="text1"/>
          <w:sz w:val="32"/>
          <w:szCs w:val="32"/>
          <w14:textFill>
            <w14:solidFill>
              <w14:schemeClr w14:val="tx1"/>
            </w14:solidFill>
          </w14:textFill>
        </w:rPr>
        <w:t>http://www.chsi.com.cn/</w:t>
      </w:r>
      <w:r>
        <w:rPr>
          <w:rFonts w:ascii="??_GB2312" w:eastAsia="Times New Roman"/>
          <w:color w:val="000000" w:themeColor="text1"/>
          <w:sz w:val="32"/>
          <w:szCs w:val="32"/>
          <w14:textFill>
            <w14:solidFill>
              <w14:schemeClr w14:val="tx1"/>
            </w14:solidFill>
          </w14:textFill>
        </w:rPr>
        <w:fldChar w:fldCharType="end"/>
      </w:r>
      <w:r>
        <w:rPr>
          <w:rFonts w:ascii="??_GB2312" w:eastAsia="Times New Roman"/>
          <w:color w:val="000000" w:themeColor="text1"/>
          <w:sz w:val="32"/>
          <w:szCs w:val="32"/>
          <w14:textFill>
            <w14:solidFill>
              <w14:schemeClr w14:val="tx1"/>
            </w14:solidFill>
          </w14:textFill>
        </w:rPr>
        <w:t>，下同) 上可查询认证，用于报考的学位应在中国学位与研究生教育信息网(简称学位网，</w:t>
      </w:r>
      <w:r>
        <w:rPr>
          <w:rFonts w:ascii="??_GB2312" w:eastAsia="Times New Roman"/>
          <w:color w:val="000000" w:themeColor="text1"/>
          <w:sz w:val="32"/>
          <w:szCs w:val="32"/>
          <w14:textFill>
            <w14:solidFill>
              <w14:schemeClr w14:val="tx1"/>
            </w14:solidFill>
          </w14:textFill>
        </w:rPr>
        <w:fldChar w:fldCharType="begin"/>
      </w:r>
      <w:r>
        <w:rPr>
          <w:rFonts w:ascii="??_GB2312" w:eastAsia="Times New Roman"/>
          <w:color w:val="000000" w:themeColor="text1"/>
          <w:sz w:val="32"/>
          <w:szCs w:val="32"/>
          <w14:textFill>
            <w14:solidFill>
              <w14:schemeClr w14:val="tx1"/>
            </w14:solidFill>
          </w14:textFill>
        </w:rPr>
        <w:instrText xml:space="preserve"> HYPERLINK "http://www.cdgdc.edu.cn/" \h </w:instrText>
      </w:r>
      <w:r>
        <w:rPr>
          <w:rFonts w:ascii="??_GB2312" w:eastAsia="Times New Roman"/>
          <w:color w:val="000000" w:themeColor="text1"/>
          <w:sz w:val="32"/>
          <w:szCs w:val="32"/>
          <w14:textFill>
            <w14:solidFill>
              <w14:schemeClr w14:val="tx1"/>
            </w14:solidFill>
          </w14:textFill>
        </w:rPr>
        <w:fldChar w:fldCharType="separate"/>
      </w:r>
      <w:r>
        <w:rPr>
          <w:rFonts w:ascii="??_GB2312" w:eastAsia="Times New Roman"/>
          <w:color w:val="000000" w:themeColor="text1"/>
          <w:sz w:val="32"/>
          <w:szCs w:val="32"/>
          <w14:textFill>
            <w14:solidFill>
              <w14:schemeClr w14:val="tx1"/>
            </w14:solidFill>
          </w14:textFill>
        </w:rPr>
        <w:t>http://www.cdgdc.edu.cn/</w:t>
      </w:r>
      <w:r>
        <w:rPr>
          <w:rFonts w:ascii="??_GB2312" w:eastAsia="Times New Roman"/>
          <w:color w:val="000000" w:themeColor="text1"/>
          <w:sz w:val="32"/>
          <w:szCs w:val="32"/>
          <w14:textFill>
            <w14:solidFill>
              <w14:schemeClr w14:val="tx1"/>
            </w14:solidFill>
          </w14:textFill>
        </w:rPr>
        <w:fldChar w:fldCharType="end"/>
      </w:r>
      <w:r>
        <w:rPr>
          <w:rFonts w:ascii="??_GB2312" w:eastAsia="Times New Roman"/>
          <w:color w:val="000000" w:themeColor="text1"/>
          <w:sz w:val="32"/>
          <w:szCs w:val="32"/>
          <w14:textFill>
            <w14:solidFill>
              <w14:schemeClr w14:val="tx1"/>
            </w14:solidFill>
          </w14:textFill>
        </w:rPr>
        <w:t>，下同)上可查询认证。</w:t>
      </w:r>
    </w:p>
    <w:p>
      <w:pPr>
        <w:ind w:firstLine="640" w:firstLineChars="200"/>
        <w:rPr>
          <w:rFonts w:ascii="??_GB2312" w:eastAsia="Times New Roman"/>
          <w:color w:val="000000" w:themeColor="text1"/>
          <w:sz w:val="32"/>
          <w:szCs w:val="32"/>
          <w14:textFill>
            <w14:solidFill>
              <w14:schemeClr w14:val="tx1"/>
            </w14:solidFill>
          </w14:textFill>
        </w:rPr>
      </w:pPr>
      <w:r>
        <w:rPr>
          <w:rFonts w:ascii="??_GB2312" w:eastAsia="Times New Roman"/>
          <w:color w:val="000000" w:themeColor="text1"/>
          <w:sz w:val="32"/>
          <w:szCs w:val="32"/>
          <w14:textFill>
            <w14:solidFill>
              <w14:schemeClr w14:val="tx1"/>
            </w14:solidFill>
          </w14:textFill>
        </w:rPr>
        <w:t>全日制普通教育2021届毕业生尚未取得相应学历（位）的，可持学校出具的《就业推荐表》</w:t>
      </w:r>
      <w:r>
        <w:rPr>
          <w:rFonts w:hint="eastAsia" w:ascii="??_GB2312" w:eastAsia="Times New Roman"/>
          <w:color w:val="000000" w:themeColor="text1"/>
          <w:sz w:val="32"/>
          <w:szCs w:val="32"/>
          <w14:textFill>
            <w14:solidFill>
              <w14:schemeClr w14:val="tx1"/>
            </w14:solidFill>
          </w14:textFill>
        </w:rPr>
        <w:t>或书面证明</w:t>
      </w:r>
      <w:r>
        <w:rPr>
          <w:rFonts w:ascii="??_GB2312" w:eastAsia="Times New Roman"/>
          <w:color w:val="000000" w:themeColor="text1"/>
          <w:sz w:val="32"/>
          <w:szCs w:val="32"/>
          <w14:textFill>
            <w14:solidFill>
              <w14:schemeClr w14:val="tx1"/>
            </w14:solidFill>
          </w14:textFill>
        </w:rPr>
        <w:t>报名，本科及以下学历毕业生须于2021年9月30日前、研究生学历毕业生须于2021年12月31日前取得并能提供符合岗位报考资格条件的相应学历（位）证书，否则视为自动放弃考试（聘用）资格。</w:t>
      </w:r>
    </w:p>
    <w:p>
      <w:pPr>
        <w:pStyle w:val="2"/>
        <w:rPr>
          <w:rFonts w:ascii="楷体" w:hAnsi="楷体" w:eastAsia="楷体" w:cs="楷体"/>
          <w:color w:val="000000" w:themeColor="text1"/>
          <w:sz w:val="32"/>
          <w:szCs w:val="32"/>
          <w14:textFill>
            <w14:solidFill>
              <w14:schemeClr w14:val="tx1"/>
            </w14:solidFill>
          </w14:textFill>
        </w:rPr>
      </w:pPr>
      <w:bookmarkStart w:id="99" w:name="_Toc23481"/>
      <w:bookmarkStart w:id="100" w:name="_Toc19890"/>
      <w:bookmarkStart w:id="101" w:name="_Toc21019"/>
      <w:bookmarkStart w:id="102" w:name="_Toc25344"/>
      <w:bookmarkStart w:id="103" w:name="_Toc16410"/>
      <w:bookmarkStart w:id="104" w:name="_Toc26637"/>
      <w:bookmarkStart w:id="105" w:name="_Toc19903"/>
      <w:bookmarkStart w:id="106" w:name="_Toc2494"/>
      <w:r>
        <w:rPr>
          <w:rFonts w:hint="eastAsia" w:ascii="楷体" w:hAnsi="楷体" w:eastAsia="楷体" w:cs="楷体"/>
          <w:color w:val="000000" w:themeColor="text1"/>
          <w:sz w:val="32"/>
          <w:szCs w:val="32"/>
          <w14:textFill>
            <w14:solidFill>
              <w14:schemeClr w14:val="tx1"/>
            </w14:solidFill>
          </w14:textFill>
        </w:rPr>
        <w:t>（二）境外学历（位）</w:t>
      </w:r>
      <w:bookmarkEnd w:id="99"/>
      <w:bookmarkEnd w:id="100"/>
      <w:bookmarkEnd w:id="101"/>
      <w:bookmarkEnd w:id="102"/>
      <w:bookmarkEnd w:id="103"/>
      <w:bookmarkEnd w:id="104"/>
      <w:bookmarkEnd w:id="105"/>
      <w:bookmarkEnd w:id="106"/>
    </w:p>
    <w:p>
      <w:pPr>
        <w:ind w:firstLine="640" w:firstLineChars="200"/>
        <w:rPr>
          <w:rFonts w:ascii="??_GB2312" w:eastAsia="Times New Roman"/>
          <w:color w:val="000000" w:themeColor="text1"/>
          <w:sz w:val="32"/>
          <w:szCs w:val="32"/>
          <w14:textFill>
            <w14:solidFill>
              <w14:schemeClr w14:val="tx1"/>
            </w14:solidFill>
          </w14:textFill>
        </w:rPr>
      </w:pPr>
      <w:r>
        <w:rPr>
          <w:rFonts w:ascii="??_GB2312" w:eastAsia="Times New Roman"/>
          <w:color w:val="000000" w:themeColor="text1"/>
          <w:sz w:val="32"/>
          <w:szCs w:val="32"/>
          <w14:textFill>
            <w14:solidFill>
              <w14:schemeClr w14:val="tx1"/>
            </w14:solidFill>
          </w14:textFill>
        </w:rPr>
        <w:t>持境外学历（位）报考的，应提供教育部留学服务中心出具的《国外学历学位认证书》或《香港、澳门特别行政区学历学位认证书》</w:t>
      </w:r>
      <w:r>
        <w:rPr>
          <w:rFonts w:hint="eastAsia" w:ascii="??_GB2312" w:eastAsia="Times New Roman"/>
          <w:color w:val="000000" w:themeColor="text1"/>
          <w:sz w:val="32"/>
          <w:szCs w:val="32"/>
          <w14:textFill>
            <w14:solidFill>
              <w14:schemeClr w14:val="tx1"/>
            </w14:solidFill>
          </w14:textFill>
        </w:rPr>
        <w:t>或</w:t>
      </w:r>
      <w:r>
        <w:rPr>
          <w:rFonts w:ascii="??_GB2312" w:eastAsia="Times New Roman"/>
          <w:color w:val="000000" w:themeColor="text1"/>
          <w:sz w:val="32"/>
          <w:szCs w:val="32"/>
          <w14:textFill>
            <w14:solidFill>
              <w14:schemeClr w14:val="tx1"/>
            </w14:solidFill>
          </w14:textFill>
        </w:rPr>
        <w:t>我国驻外使领馆</w:t>
      </w:r>
      <w:r>
        <w:rPr>
          <w:rFonts w:hint="eastAsia" w:ascii="??_GB2312" w:eastAsia="Times New Roman"/>
          <w:color w:val="000000" w:themeColor="text1"/>
          <w:sz w:val="32"/>
          <w:szCs w:val="32"/>
          <w14:textFill>
            <w14:solidFill>
              <w14:schemeClr w14:val="tx1"/>
            </w14:solidFill>
          </w14:textFill>
        </w:rPr>
        <w:t>出具</w:t>
      </w:r>
      <w:r>
        <w:rPr>
          <w:rFonts w:ascii="??_GB2312" w:eastAsia="Times New Roman"/>
          <w:color w:val="000000" w:themeColor="text1"/>
          <w:sz w:val="32"/>
          <w:szCs w:val="32"/>
          <w14:textFill>
            <w14:solidFill>
              <w14:schemeClr w14:val="tx1"/>
            </w14:solidFill>
          </w14:textFill>
        </w:rPr>
        <w:t>的有关证明材料。</w:t>
      </w:r>
    </w:p>
    <w:p>
      <w:pPr>
        <w:ind w:firstLine="640" w:firstLineChars="200"/>
        <w:rPr>
          <w:rFonts w:ascii="??_GB2312" w:eastAsia="Times New Roman"/>
          <w:color w:val="000000" w:themeColor="text1"/>
          <w:sz w:val="32"/>
          <w:szCs w:val="32"/>
          <w14:textFill>
            <w14:solidFill>
              <w14:schemeClr w14:val="tx1"/>
            </w14:solidFill>
          </w14:textFill>
        </w:rPr>
      </w:pPr>
      <w:r>
        <w:rPr>
          <w:rFonts w:ascii="??_GB2312" w:eastAsia="Times New Roman"/>
          <w:color w:val="000000" w:themeColor="text1"/>
          <w:sz w:val="32"/>
          <w:szCs w:val="32"/>
          <w14:textFill>
            <w14:solidFill>
              <w14:schemeClr w14:val="tx1"/>
            </w14:solidFill>
          </w14:textFill>
        </w:rPr>
        <w:t>属于国内院校与国外院校联合办学取得境外学历</w:t>
      </w:r>
      <w:r>
        <w:rPr>
          <w:rFonts w:hint="eastAsia" w:ascii="??_GB2312" w:eastAsia="Times New Roman"/>
          <w:color w:val="000000" w:themeColor="text1"/>
          <w:sz w:val="32"/>
          <w:szCs w:val="32"/>
          <w14:textFill>
            <w14:solidFill>
              <w14:schemeClr w14:val="tx1"/>
            </w14:solidFill>
          </w14:textFill>
        </w:rPr>
        <w:t>（</w:t>
      </w:r>
      <w:r>
        <w:rPr>
          <w:rFonts w:ascii="??_GB2312" w:eastAsia="Times New Roman"/>
          <w:color w:val="000000" w:themeColor="text1"/>
          <w:sz w:val="32"/>
          <w:szCs w:val="32"/>
          <w14:textFill>
            <w14:solidFill>
              <w14:schemeClr w14:val="tx1"/>
            </w14:solidFill>
          </w14:textFill>
        </w:rPr>
        <w:t>位</w:t>
      </w:r>
      <w:r>
        <w:rPr>
          <w:rFonts w:hint="eastAsia" w:ascii="??_GB2312" w:eastAsia="Times New Roman"/>
          <w:color w:val="000000" w:themeColor="text1"/>
          <w:sz w:val="32"/>
          <w:szCs w:val="32"/>
          <w14:textFill>
            <w14:solidFill>
              <w14:schemeClr w14:val="tx1"/>
            </w14:solidFill>
          </w14:textFill>
        </w:rPr>
        <w:t>）</w:t>
      </w:r>
      <w:r>
        <w:rPr>
          <w:rFonts w:ascii="??_GB2312" w:eastAsia="Times New Roman"/>
          <w:color w:val="000000" w:themeColor="text1"/>
          <w:sz w:val="32"/>
          <w:szCs w:val="32"/>
          <w14:textFill>
            <w14:solidFill>
              <w14:schemeClr w14:val="tx1"/>
            </w14:solidFill>
          </w14:textFill>
        </w:rPr>
        <w:t>的，需提供教育部留学服务中心出具的《联合办学学历学位评估意见书》或《联合办学学历学位认证书》。</w:t>
      </w:r>
    </w:p>
    <w:p>
      <w:pPr>
        <w:ind w:firstLine="640" w:firstLineChars="200"/>
        <w:rPr>
          <w:rFonts w:ascii="??_GB2312" w:eastAsia="Times New Roman"/>
          <w:color w:val="000000" w:themeColor="text1"/>
          <w:sz w:val="32"/>
          <w:szCs w:val="32"/>
          <w14:textFill>
            <w14:solidFill>
              <w14:schemeClr w14:val="tx1"/>
            </w14:solidFill>
          </w14:textFill>
        </w:rPr>
      </w:pPr>
      <w:r>
        <w:rPr>
          <w:rFonts w:ascii="??_GB2312" w:eastAsia="Times New Roman"/>
          <w:color w:val="000000" w:themeColor="text1"/>
          <w:sz w:val="32"/>
          <w:szCs w:val="32"/>
          <w14:textFill>
            <w14:solidFill>
              <w14:schemeClr w14:val="tx1"/>
            </w14:solidFill>
          </w14:textFill>
        </w:rPr>
        <w:t>持境外学历（位）报考的2021届毕业生，在资格复核时也须提交承诺书（</w:t>
      </w:r>
      <w:r>
        <w:rPr>
          <w:rFonts w:hint="eastAsia" w:ascii="??_GB2312" w:eastAsia="Times New Roman"/>
          <w:color w:val="000000" w:themeColor="text1"/>
          <w:sz w:val="32"/>
          <w:szCs w:val="32"/>
          <w14:textFill>
            <w14:solidFill>
              <w14:schemeClr w14:val="tx1"/>
            </w14:solidFill>
          </w14:textFill>
        </w:rPr>
        <w:t>详见</w:t>
      </w:r>
      <w:r>
        <w:rPr>
          <w:rFonts w:ascii="??_GB2312" w:eastAsia="Times New Roman"/>
          <w:color w:val="000000" w:themeColor="text1"/>
          <w:sz w:val="32"/>
          <w:szCs w:val="32"/>
          <w14:textFill>
            <w14:solidFill>
              <w14:schemeClr w14:val="tx1"/>
            </w14:solidFill>
          </w14:textFill>
        </w:rPr>
        <w:t>附件）。</w:t>
      </w:r>
    </w:p>
    <w:p>
      <w:pPr>
        <w:pStyle w:val="2"/>
        <w:rPr>
          <w:rFonts w:ascii="楷体" w:hAnsi="楷体" w:eastAsia="楷体" w:cs="楷体"/>
          <w:color w:val="000000" w:themeColor="text1"/>
          <w:sz w:val="32"/>
          <w:szCs w:val="32"/>
          <w14:textFill>
            <w14:solidFill>
              <w14:schemeClr w14:val="tx1"/>
            </w14:solidFill>
          </w14:textFill>
        </w:rPr>
      </w:pPr>
      <w:bookmarkStart w:id="107" w:name="_Toc16795"/>
      <w:bookmarkStart w:id="108" w:name="_Toc22445"/>
      <w:bookmarkStart w:id="109" w:name="_Toc32368"/>
      <w:bookmarkStart w:id="110" w:name="_Toc8453"/>
      <w:bookmarkStart w:id="111" w:name="_Toc23613"/>
      <w:bookmarkStart w:id="112" w:name="_Toc10504"/>
      <w:bookmarkStart w:id="113" w:name="_Toc30743"/>
      <w:bookmarkStart w:id="114" w:name="_Toc14163"/>
      <w:r>
        <w:rPr>
          <w:rFonts w:hint="eastAsia" w:ascii="楷体" w:hAnsi="楷体" w:eastAsia="楷体" w:cs="楷体"/>
          <w:color w:val="000000" w:themeColor="text1"/>
          <w:sz w:val="32"/>
          <w:szCs w:val="32"/>
          <w14:textFill>
            <w14:solidFill>
              <w14:schemeClr w14:val="tx1"/>
            </w14:solidFill>
          </w14:textFill>
        </w:rPr>
        <w:t>（三）福建省“双学位”“双专业”教育</w:t>
      </w:r>
      <w:bookmarkEnd w:id="107"/>
      <w:bookmarkEnd w:id="108"/>
      <w:bookmarkEnd w:id="109"/>
      <w:bookmarkEnd w:id="110"/>
      <w:bookmarkEnd w:id="111"/>
      <w:bookmarkEnd w:id="112"/>
      <w:bookmarkEnd w:id="113"/>
      <w:bookmarkEnd w:id="114"/>
    </w:p>
    <w:p>
      <w:pPr>
        <w:ind w:firstLine="640" w:firstLineChars="200"/>
        <w:rPr>
          <w:rFonts w:ascii="??_GB2312" w:eastAsia="Times New Roman"/>
          <w:color w:val="000000" w:themeColor="text1"/>
          <w:sz w:val="32"/>
          <w:szCs w:val="32"/>
          <w14:textFill>
            <w14:solidFill>
              <w14:schemeClr w14:val="tx1"/>
            </w14:solidFill>
          </w14:textFill>
        </w:rPr>
      </w:pPr>
      <w:r>
        <w:rPr>
          <w:rFonts w:ascii="??_GB2312" w:eastAsia="Times New Roman"/>
          <w:color w:val="000000" w:themeColor="text1"/>
          <w:sz w:val="32"/>
          <w:szCs w:val="32"/>
          <w14:textFill>
            <w14:solidFill>
              <w14:schemeClr w14:val="tx1"/>
            </w14:solidFill>
          </w14:textFill>
        </w:rPr>
        <w:t>根据《关于在全省高校毕业生中试行“双学位”“双专业”教育的意见》（闽教高〔2009〕9号），经修读达到毕业条件并获得“双学位”“双专业”证书的报考者，在本省范围内承认其学历、学位。</w:t>
      </w:r>
    </w:p>
    <w:p>
      <w:pPr>
        <w:pStyle w:val="2"/>
        <w:rPr>
          <w:rFonts w:ascii="楷体" w:hAnsi="楷体" w:eastAsia="楷体" w:cs="楷体"/>
          <w:color w:val="000000" w:themeColor="text1"/>
          <w:sz w:val="32"/>
          <w:szCs w:val="32"/>
          <w14:textFill>
            <w14:solidFill>
              <w14:schemeClr w14:val="tx1"/>
            </w14:solidFill>
          </w14:textFill>
        </w:rPr>
      </w:pPr>
      <w:bookmarkStart w:id="115" w:name="_Toc32514"/>
      <w:bookmarkStart w:id="116" w:name="_Toc513"/>
      <w:bookmarkStart w:id="117" w:name="_Toc17251"/>
      <w:bookmarkStart w:id="118" w:name="_Toc4851"/>
      <w:bookmarkStart w:id="119" w:name="_Toc8728"/>
      <w:bookmarkStart w:id="120" w:name="_Toc14540"/>
      <w:bookmarkStart w:id="121" w:name="_Toc12030"/>
      <w:bookmarkStart w:id="122" w:name="_Toc16941"/>
      <w:r>
        <w:rPr>
          <w:rFonts w:hint="eastAsia" w:ascii="楷体" w:hAnsi="楷体" w:eastAsia="楷体" w:cs="楷体"/>
          <w:color w:val="000000" w:themeColor="text1"/>
          <w:sz w:val="32"/>
          <w:szCs w:val="32"/>
          <w14:textFill>
            <w14:solidFill>
              <w14:schemeClr w14:val="tx1"/>
            </w14:solidFill>
          </w14:textFill>
        </w:rPr>
        <w:t>（四）提醒事项</w:t>
      </w:r>
      <w:bookmarkEnd w:id="115"/>
      <w:bookmarkEnd w:id="116"/>
      <w:bookmarkEnd w:id="117"/>
      <w:bookmarkEnd w:id="118"/>
      <w:bookmarkEnd w:id="119"/>
      <w:bookmarkEnd w:id="120"/>
      <w:bookmarkEnd w:id="121"/>
      <w:bookmarkEnd w:id="122"/>
    </w:p>
    <w:p>
      <w:pPr>
        <w:ind w:firstLine="640" w:firstLineChars="200"/>
        <w:rPr>
          <w:rFonts w:ascii="??_GB2312" w:eastAsia="Times New Roman"/>
          <w:color w:val="000000" w:themeColor="text1"/>
          <w:sz w:val="32"/>
          <w:szCs w:val="32"/>
          <w14:textFill>
            <w14:solidFill>
              <w14:schemeClr w14:val="tx1"/>
            </w14:solidFill>
          </w14:textFill>
        </w:rPr>
      </w:pPr>
      <w:r>
        <w:rPr>
          <w:rFonts w:ascii="??_GB2312" w:eastAsia="Times New Roman"/>
          <w:color w:val="000000" w:themeColor="text1"/>
          <w:sz w:val="32"/>
          <w:szCs w:val="32"/>
          <w14:textFill>
            <w14:solidFill>
              <w14:schemeClr w14:val="tx1"/>
            </w14:solidFill>
          </w14:textFill>
        </w:rPr>
        <w:t>资格复核时，招聘单位将对学历（位）情况进行核查，请报考者按照上述要求，提前做好相应认证报告或网上查验准备。</w:t>
      </w:r>
    </w:p>
    <w:p>
      <w:pPr>
        <w:pStyle w:val="2"/>
        <w:rPr>
          <w:rFonts w:ascii="黑体" w:hAnsi="黑体" w:eastAsia="黑体" w:cs="黑体"/>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七、专业认定</w:t>
      </w:r>
      <w:bookmarkEnd w:id="92"/>
      <w:bookmarkEnd w:id="93"/>
      <w:bookmarkEnd w:id="94"/>
      <w:bookmarkEnd w:id="95"/>
      <w:bookmarkEnd w:id="96"/>
      <w:bookmarkEnd w:id="97"/>
      <w:bookmarkEnd w:id="98"/>
    </w:p>
    <w:p>
      <w:pPr>
        <w:ind w:firstLine="640" w:firstLineChars="200"/>
        <w:rPr>
          <w:rFonts w:ascii="??_GB2312" w:eastAsia="Times New Roman"/>
          <w:color w:val="000000" w:themeColor="text1"/>
          <w:sz w:val="32"/>
          <w:szCs w:val="32"/>
          <w14:textFill>
            <w14:solidFill>
              <w14:schemeClr w14:val="tx1"/>
            </w14:solidFill>
          </w14:textFill>
        </w:rPr>
      </w:pPr>
      <w:r>
        <w:rPr>
          <w:rFonts w:ascii="??_GB2312" w:eastAsia="Times New Roman"/>
          <w:color w:val="000000" w:themeColor="text1"/>
          <w:sz w:val="32"/>
          <w:szCs w:val="32"/>
          <w14:textFill>
            <w14:solidFill>
              <w14:schemeClr w14:val="tx1"/>
            </w14:solidFill>
          </w14:textFill>
        </w:rPr>
        <w:t>本次招聘考试以《福建省机关事业单位招考专业指导目录（2021年）》（以下简称《专业指导目录》）作为岗位专业条件设置和审核的依据。其他来源的专业指导目录不作为本次报考和审核的依据。</w:t>
      </w:r>
    </w:p>
    <w:p>
      <w:pPr>
        <w:pStyle w:val="2"/>
        <w:rPr>
          <w:rFonts w:ascii="楷体" w:hAnsi="楷体" w:eastAsia="楷体" w:cs="楷体"/>
          <w:color w:val="000000" w:themeColor="text1"/>
          <w:sz w:val="32"/>
          <w:szCs w:val="32"/>
          <w14:textFill>
            <w14:solidFill>
              <w14:schemeClr w14:val="tx1"/>
            </w14:solidFill>
          </w14:textFill>
        </w:rPr>
      </w:pPr>
      <w:bookmarkStart w:id="123" w:name="_Toc10067"/>
      <w:bookmarkStart w:id="124" w:name="_Toc23238"/>
      <w:bookmarkStart w:id="125" w:name="_Toc10798"/>
      <w:bookmarkStart w:id="126" w:name="_Toc17684"/>
      <w:bookmarkStart w:id="127" w:name="_Toc12880"/>
      <w:bookmarkStart w:id="128" w:name="_Toc5122"/>
      <w:bookmarkStart w:id="129" w:name="_Toc20957"/>
      <w:r>
        <w:rPr>
          <w:rFonts w:hint="eastAsia" w:ascii="楷体" w:hAnsi="楷体" w:eastAsia="楷体" w:cs="楷体"/>
          <w:color w:val="000000" w:themeColor="text1"/>
          <w:sz w:val="32"/>
          <w:szCs w:val="32"/>
          <w14:textFill>
            <w14:solidFill>
              <w14:schemeClr w14:val="tx1"/>
            </w14:solidFill>
          </w14:textFill>
        </w:rPr>
        <w:t>（一）填报专业名称</w:t>
      </w:r>
      <w:bookmarkEnd w:id="123"/>
      <w:bookmarkEnd w:id="124"/>
      <w:bookmarkEnd w:id="125"/>
      <w:bookmarkEnd w:id="126"/>
      <w:bookmarkEnd w:id="127"/>
      <w:bookmarkEnd w:id="128"/>
      <w:bookmarkEnd w:id="129"/>
    </w:p>
    <w:p>
      <w:pPr>
        <w:ind w:firstLine="640" w:firstLineChars="200"/>
        <w:rPr>
          <w:rFonts w:ascii="??_GB2312" w:eastAsia="Times New Roman"/>
          <w:color w:val="000000" w:themeColor="text1"/>
          <w:sz w:val="32"/>
          <w:szCs w:val="32"/>
          <w14:textFill>
            <w14:solidFill>
              <w14:schemeClr w14:val="tx1"/>
            </w14:solidFill>
          </w14:textFill>
        </w:rPr>
      </w:pPr>
      <w:r>
        <w:rPr>
          <w:rFonts w:ascii="??_GB2312" w:eastAsia="Times New Roman"/>
          <w:color w:val="000000" w:themeColor="text1"/>
          <w:sz w:val="32"/>
          <w:szCs w:val="32"/>
          <w14:textFill>
            <w14:solidFill>
              <w14:schemeClr w14:val="tx1"/>
            </w14:solidFill>
          </w14:textFill>
        </w:rPr>
        <w:t>报考者报名时应严格按照所持证书（认证报告）所注明专业只字不差、如实填写所学专业。其中，全日制普通教育学历所学专业以毕业证书为准，非全日制普通教育学历和境外学历（位）所学专业以教育部学历（位）认证部门出具的认证报告为准</w:t>
      </w:r>
      <w:r>
        <w:rPr>
          <w:rFonts w:hint="eastAsia" w:ascii="??_GB2312" w:eastAsia="Times New Roman"/>
          <w:color w:val="000000" w:themeColor="text1"/>
          <w:sz w:val="32"/>
          <w:szCs w:val="32"/>
          <w14:textFill>
            <w14:solidFill>
              <w14:schemeClr w14:val="tx1"/>
            </w14:solidFill>
          </w14:textFill>
        </w:rPr>
        <w:t>。</w:t>
      </w:r>
    </w:p>
    <w:p>
      <w:pPr>
        <w:ind w:firstLine="640" w:firstLineChars="200"/>
        <w:rPr>
          <w:rFonts w:ascii="??_GB2312" w:eastAsia="Times New Roman"/>
          <w:color w:val="000000" w:themeColor="text1"/>
          <w:sz w:val="32"/>
          <w:szCs w:val="32"/>
          <w14:textFill>
            <w14:solidFill>
              <w14:schemeClr w14:val="tx1"/>
            </w14:solidFill>
          </w14:textFill>
        </w:rPr>
      </w:pPr>
      <w:r>
        <w:rPr>
          <w:rFonts w:ascii="??_GB2312" w:eastAsia="Times New Roman"/>
          <w:color w:val="000000" w:themeColor="text1"/>
          <w:sz w:val="32"/>
          <w:szCs w:val="32"/>
          <w14:textFill>
            <w14:solidFill>
              <w14:schemeClr w14:val="tx1"/>
            </w14:solidFill>
          </w14:textFill>
        </w:rPr>
        <w:t>如所学专业有专业方向但未在毕业证书上体现的，报考者应先按照毕业证书上注明的专业填报，同时在报名信息表的备注栏中加以说明，并配合招聘单位要求提供本章节第（三）款第2点列示的证明材料。</w:t>
      </w:r>
    </w:p>
    <w:p>
      <w:pPr>
        <w:pStyle w:val="2"/>
        <w:rPr>
          <w:rFonts w:ascii="楷体" w:hAnsi="楷体" w:eastAsia="楷体" w:cs="楷体"/>
          <w:color w:val="000000" w:themeColor="text1"/>
          <w:sz w:val="32"/>
          <w:szCs w:val="32"/>
          <w14:textFill>
            <w14:solidFill>
              <w14:schemeClr w14:val="tx1"/>
            </w14:solidFill>
          </w14:textFill>
        </w:rPr>
      </w:pPr>
      <w:bookmarkStart w:id="130" w:name="_Toc2160"/>
      <w:bookmarkStart w:id="131" w:name="_Toc8254"/>
      <w:bookmarkStart w:id="132" w:name="_Toc28824"/>
      <w:bookmarkStart w:id="133" w:name="_Toc18233"/>
      <w:bookmarkStart w:id="134" w:name="_Toc26794"/>
      <w:bookmarkStart w:id="135" w:name="_Toc11746"/>
      <w:bookmarkStart w:id="136" w:name="_Toc26297"/>
      <w:r>
        <w:rPr>
          <w:rFonts w:hint="eastAsia" w:ascii="楷体" w:hAnsi="楷体" w:eastAsia="楷体" w:cs="楷体"/>
          <w:color w:val="000000" w:themeColor="text1"/>
          <w:sz w:val="32"/>
          <w:szCs w:val="32"/>
          <w14:textFill>
            <w14:solidFill>
              <w14:schemeClr w14:val="tx1"/>
            </w14:solidFill>
          </w14:textFill>
        </w:rPr>
        <w:t>（二）专业与学历（位）的对应关系</w:t>
      </w:r>
      <w:bookmarkEnd w:id="130"/>
      <w:bookmarkEnd w:id="131"/>
      <w:bookmarkEnd w:id="132"/>
      <w:bookmarkEnd w:id="133"/>
      <w:bookmarkEnd w:id="134"/>
      <w:bookmarkEnd w:id="135"/>
      <w:bookmarkEnd w:id="136"/>
    </w:p>
    <w:p>
      <w:pPr>
        <w:ind w:firstLine="640" w:firstLineChars="200"/>
        <w:rPr>
          <w:rFonts w:ascii="??_GB2312" w:eastAsia="Times New Roman"/>
          <w:color w:val="000000" w:themeColor="text1"/>
          <w:sz w:val="32"/>
          <w:szCs w:val="32"/>
          <w14:textFill>
            <w14:solidFill>
              <w14:schemeClr w14:val="tx1"/>
            </w14:solidFill>
          </w14:textFill>
        </w:rPr>
      </w:pPr>
      <w:r>
        <w:rPr>
          <w:rFonts w:hint="eastAsia" w:ascii="??_GB2312" w:eastAsia="Times New Roman"/>
          <w:color w:val="000000" w:themeColor="text1"/>
          <w:sz w:val="32"/>
          <w:szCs w:val="32"/>
          <w14:textFill>
            <w14:solidFill>
              <w14:schemeClr w14:val="tx1"/>
            </w14:solidFill>
          </w14:textFill>
        </w:rPr>
        <w:t>岗位要求的专业条件与学历条件相互匹配。报考者可使用本人已获得的任意学历及其对应的专业进行报考，如具有硕士研究生学历的报考者也可使用本人的本科学历及其对应的专业报考，但所用专业对应的学历不得低于该岗位设置的学历条件要求。</w:t>
      </w:r>
    </w:p>
    <w:p>
      <w:pPr>
        <w:pStyle w:val="2"/>
        <w:rPr>
          <w:rFonts w:ascii="楷体" w:hAnsi="楷体" w:eastAsia="楷体" w:cs="楷体"/>
          <w:color w:val="000000" w:themeColor="text1"/>
          <w:sz w:val="32"/>
          <w:szCs w:val="32"/>
          <w14:textFill>
            <w14:solidFill>
              <w14:schemeClr w14:val="tx1"/>
            </w14:solidFill>
          </w14:textFill>
        </w:rPr>
      </w:pPr>
      <w:bookmarkStart w:id="137" w:name="_Toc21515"/>
      <w:bookmarkStart w:id="138" w:name="_Toc22335"/>
      <w:bookmarkStart w:id="139" w:name="_Toc5876"/>
      <w:bookmarkStart w:id="140" w:name="_Toc9196"/>
      <w:bookmarkStart w:id="141" w:name="_Toc6351"/>
      <w:bookmarkStart w:id="142" w:name="_Toc20923"/>
      <w:bookmarkStart w:id="143" w:name="_Toc11369"/>
      <w:bookmarkStart w:id="144" w:name="_（三）专业资格的认定"/>
      <w:r>
        <w:rPr>
          <w:rFonts w:hint="eastAsia" w:ascii="楷体" w:hAnsi="楷体" w:eastAsia="楷体" w:cs="楷体"/>
          <w:color w:val="000000" w:themeColor="text1"/>
          <w:sz w:val="32"/>
          <w:szCs w:val="32"/>
          <w14:textFill>
            <w14:solidFill>
              <w14:schemeClr w14:val="tx1"/>
            </w14:solidFill>
          </w14:textFill>
        </w:rPr>
        <w:t>（三）专业资格的认定</w:t>
      </w:r>
      <w:bookmarkEnd w:id="137"/>
      <w:bookmarkEnd w:id="138"/>
      <w:bookmarkEnd w:id="139"/>
      <w:bookmarkEnd w:id="140"/>
      <w:bookmarkEnd w:id="141"/>
      <w:bookmarkEnd w:id="142"/>
      <w:bookmarkEnd w:id="143"/>
    </w:p>
    <w:bookmarkEnd w:id="144"/>
    <w:p>
      <w:pPr>
        <w:ind w:firstLine="640" w:firstLineChars="200"/>
        <w:rPr>
          <w:rFonts w:hint="eastAsia" w:ascii="??_GB2312" w:eastAsia="Times New Roman"/>
          <w:color w:val="000000" w:themeColor="text1"/>
          <w:sz w:val="32"/>
          <w:szCs w:val="32"/>
          <w14:textFill>
            <w14:solidFill>
              <w14:schemeClr w14:val="tx1"/>
            </w14:solidFill>
          </w14:textFill>
        </w:rPr>
      </w:pPr>
      <w:r>
        <w:rPr>
          <w:rFonts w:hint="eastAsia" w:ascii="??_GB2312" w:eastAsia="Times New Roman"/>
          <w:color w:val="000000" w:themeColor="text1"/>
          <w:sz w:val="32"/>
          <w:szCs w:val="32"/>
          <w14:textFill>
            <w14:solidFill>
              <w14:schemeClr w14:val="tx1"/>
            </w14:solidFill>
          </w14:textFill>
        </w:rPr>
        <w:t>1.专业条件为“××类”的岗位，报考者所学专业须符合《专业指导目录》中“××类”下所列专业，专业条件为具体专业名称的，报考者所学专业须符合所列专业。</w:t>
      </w:r>
    </w:p>
    <w:p>
      <w:pPr>
        <w:ind w:firstLine="640" w:firstLineChars="200"/>
        <w:rPr>
          <w:rFonts w:hint="eastAsia" w:ascii="??_GB2312" w:eastAsia="Times New Roman"/>
          <w:color w:val="000000" w:themeColor="text1"/>
          <w:sz w:val="32"/>
          <w:szCs w:val="32"/>
          <w14:textFill>
            <w14:solidFill>
              <w14:schemeClr w14:val="tx1"/>
            </w14:solidFill>
          </w14:textFill>
        </w:rPr>
      </w:pPr>
      <w:r>
        <w:rPr>
          <w:rFonts w:hint="eastAsia" w:ascii="??_GB2312" w:eastAsia="Times New Roman"/>
          <w:color w:val="000000" w:themeColor="text1"/>
          <w:sz w:val="32"/>
          <w:szCs w:val="32"/>
          <w14:textFill>
            <w14:solidFill>
              <w14:schemeClr w14:val="tx1"/>
            </w14:solidFill>
          </w14:textFill>
        </w:rPr>
        <w:t>专业条件要求“临床医学”专业的，含“临床医学”或“临床医学硕士”或“临床医学博士”专业，其他专业以此类推。</w:t>
      </w:r>
    </w:p>
    <w:p>
      <w:pPr>
        <w:ind w:firstLine="640" w:firstLineChars="200"/>
        <w:rPr>
          <w:rFonts w:hint="eastAsia" w:ascii="??_GB2312" w:eastAsia="Times New Roman"/>
          <w:color w:val="000000" w:themeColor="text1"/>
          <w:sz w:val="32"/>
          <w:szCs w:val="32"/>
          <w14:textFill>
            <w14:solidFill>
              <w14:schemeClr w14:val="tx1"/>
            </w14:solidFill>
          </w14:textFill>
        </w:rPr>
      </w:pPr>
      <w:r>
        <w:rPr>
          <w:rFonts w:hint="eastAsia" w:ascii="??_GB2312" w:eastAsia="Times New Roman"/>
          <w:color w:val="000000" w:themeColor="text1"/>
          <w:sz w:val="32"/>
          <w:szCs w:val="32"/>
          <w14:textFill>
            <w14:solidFill>
              <w14:schemeClr w14:val="tx1"/>
            </w14:solidFill>
          </w14:textFill>
        </w:rPr>
        <w:t>2.岗位资格条件要求“专业方向”的，报考者须提供学历证、学位证、主干课程成绩表、论文发表情况、学校证明等有效凭证（下同），由招聘单位</w:t>
      </w:r>
      <w:r>
        <w:rPr>
          <w:rFonts w:hint="eastAsia" w:ascii="??_GB2312" w:eastAsia="Times New Roman"/>
          <w:color w:val="000000" w:themeColor="text1"/>
          <w:sz w:val="32"/>
          <w:szCs w:val="32"/>
          <w:lang w:eastAsia="zh-CN"/>
          <w14:textFill>
            <w14:solidFill>
              <w14:schemeClr w14:val="tx1"/>
            </w14:solidFill>
          </w14:textFill>
        </w:rPr>
        <w:t>会同厦门医学院</w:t>
      </w:r>
      <w:r>
        <w:rPr>
          <w:rFonts w:hint="eastAsia" w:ascii="??_GB2312" w:eastAsia="Times New Roman"/>
          <w:color w:val="000000" w:themeColor="text1"/>
          <w:sz w:val="32"/>
          <w:szCs w:val="32"/>
          <w14:textFill>
            <w14:solidFill>
              <w14:schemeClr w14:val="tx1"/>
            </w14:solidFill>
          </w14:textFill>
        </w:rPr>
        <w:t>认定。</w:t>
      </w:r>
    </w:p>
    <w:p>
      <w:pPr>
        <w:ind w:firstLine="640" w:firstLineChars="200"/>
        <w:rPr>
          <w:rFonts w:hint="eastAsia" w:ascii="??_GB2312" w:eastAsia="Times New Roman"/>
          <w:color w:val="000000" w:themeColor="text1"/>
          <w:sz w:val="32"/>
          <w:szCs w:val="32"/>
          <w14:textFill>
            <w14:solidFill>
              <w14:schemeClr w14:val="tx1"/>
            </w14:solidFill>
          </w14:textFill>
        </w:rPr>
      </w:pPr>
      <w:r>
        <w:rPr>
          <w:rFonts w:hint="eastAsia" w:ascii="??_GB2312" w:eastAsia="Times New Roman"/>
          <w:color w:val="000000" w:themeColor="text1"/>
          <w:sz w:val="32"/>
          <w:szCs w:val="32"/>
          <w14:textFill>
            <w14:solidFill>
              <w14:schemeClr w14:val="tx1"/>
            </w14:solidFill>
          </w14:textFill>
        </w:rPr>
        <w:t>3.如报考者所学专业不在《专业指导目录》中但与拟报考岗位所需专业“相近、相似”的，报考者须参照上述佐证“专业方向”应提供的有效凭证，由招聘单位</w:t>
      </w:r>
      <w:r>
        <w:rPr>
          <w:rFonts w:hint="eastAsia" w:ascii="??_GB2312" w:eastAsia="Times New Roman"/>
          <w:color w:val="000000" w:themeColor="text1"/>
          <w:sz w:val="32"/>
          <w:szCs w:val="32"/>
          <w:lang w:eastAsia="zh-CN"/>
          <w14:textFill>
            <w14:solidFill>
              <w14:schemeClr w14:val="tx1"/>
            </w14:solidFill>
          </w14:textFill>
        </w:rPr>
        <w:t>审核后报厦门医学院</w:t>
      </w:r>
      <w:r>
        <w:rPr>
          <w:rFonts w:hint="eastAsia" w:ascii="??_GB2312" w:eastAsia="Times New Roman"/>
          <w:color w:val="000000" w:themeColor="text1"/>
          <w:sz w:val="32"/>
          <w:szCs w:val="32"/>
          <w14:textFill>
            <w14:solidFill>
              <w14:schemeClr w14:val="tx1"/>
            </w14:solidFill>
          </w14:textFill>
        </w:rPr>
        <w:t>认定。报考者所学专业在《专业指导目录》中但未列入岗位所需专业要求的，不得报考该岗位。</w:t>
      </w:r>
    </w:p>
    <w:p>
      <w:pPr>
        <w:pStyle w:val="2"/>
        <w:rPr>
          <w:rFonts w:ascii="黑体" w:hAnsi="黑体" w:eastAsia="黑体" w:cs="黑体"/>
          <w:color w:val="000000" w:themeColor="text1"/>
          <w:sz w:val="32"/>
          <w:szCs w:val="32"/>
          <w14:textFill>
            <w14:solidFill>
              <w14:schemeClr w14:val="tx1"/>
            </w14:solidFill>
          </w14:textFill>
        </w:rPr>
      </w:pPr>
      <w:bookmarkStart w:id="145" w:name="_Toc5985"/>
      <w:bookmarkStart w:id="146" w:name="_Toc26125"/>
      <w:bookmarkStart w:id="147" w:name="_Toc2928"/>
      <w:bookmarkStart w:id="148" w:name="_Toc10277"/>
      <w:bookmarkStart w:id="149" w:name="_Toc10327"/>
      <w:bookmarkStart w:id="150" w:name="_Toc19746"/>
      <w:bookmarkStart w:id="151" w:name="_Toc6797"/>
      <w:r>
        <w:rPr>
          <w:rFonts w:hint="eastAsia" w:ascii="黑体" w:hAnsi="黑体" w:eastAsia="黑体" w:cs="黑体"/>
          <w:color w:val="000000" w:themeColor="text1"/>
          <w:sz w:val="32"/>
          <w:szCs w:val="32"/>
          <w14:textFill>
            <w14:solidFill>
              <w14:schemeClr w14:val="tx1"/>
            </w14:solidFill>
          </w14:textFill>
        </w:rPr>
        <w:t>八、工作经验</w:t>
      </w:r>
      <w:bookmarkEnd w:id="145"/>
      <w:bookmarkEnd w:id="146"/>
      <w:bookmarkEnd w:id="147"/>
      <w:bookmarkEnd w:id="148"/>
      <w:bookmarkEnd w:id="149"/>
      <w:bookmarkEnd w:id="150"/>
      <w:r>
        <w:rPr>
          <w:rFonts w:hint="eastAsia" w:ascii="黑体" w:hAnsi="黑体" w:eastAsia="黑体" w:cs="黑体"/>
          <w:color w:val="000000" w:themeColor="text1"/>
          <w:sz w:val="32"/>
          <w:szCs w:val="32"/>
          <w14:textFill>
            <w14:solidFill>
              <w14:schemeClr w14:val="tx1"/>
            </w14:solidFill>
          </w14:textFill>
        </w:rPr>
        <w:t>认定</w:t>
      </w:r>
      <w:bookmarkEnd w:id="151"/>
    </w:p>
    <w:p>
      <w:pPr>
        <w:ind w:firstLine="640" w:firstLineChars="200"/>
        <w:rPr>
          <w:rFonts w:hint="eastAsia" w:ascii="??_GB2312" w:eastAsia="Times New Roman"/>
          <w:color w:val="000000" w:themeColor="text1"/>
          <w:sz w:val="32"/>
          <w:szCs w:val="32"/>
          <w14:textFill>
            <w14:solidFill>
              <w14:schemeClr w14:val="tx1"/>
            </w14:solidFill>
          </w14:textFill>
        </w:rPr>
      </w:pPr>
      <w:bookmarkStart w:id="152" w:name="_Toc11732"/>
      <w:bookmarkStart w:id="153" w:name="_Toc3985"/>
      <w:bookmarkStart w:id="154" w:name="_Toc13553"/>
      <w:bookmarkStart w:id="155" w:name="_Toc25407"/>
      <w:bookmarkStart w:id="156" w:name="_Toc3728"/>
      <w:bookmarkStart w:id="157" w:name="_Toc14918"/>
      <w:bookmarkStart w:id="158" w:name="_Toc20146"/>
      <w:r>
        <w:rPr>
          <w:rFonts w:hint="eastAsia" w:ascii="??_GB2312" w:eastAsia="Times New Roman"/>
          <w:color w:val="000000" w:themeColor="text1"/>
          <w:sz w:val="32"/>
          <w:szCs w:val="32"/>
          <w14:textFill>
            <w14:solidFill>
              <w14:schemeClr w14:val="tx1"/>
            </w14:solidFill>
          </w14:textFill>
        </w:rPr>
        <w:t>岗位资格条件要求“专业工作经验”的，报考者需提供养老保险缴费凭证或工资发放表等有效凭证、聘用(劳动)合同和所在单位出具的符合岗位资格条件要求的相关岗位的工作情况证明。全日制普通教育毕业生参加经人社部门核定的职业见习，若从事的工作与报考岗位要求的专业工作经验相关，其毕业后的职业见习年限可视同工作经验年限。</w:t>
      </w:r>
    </w:p>
    <w:p>
      <w:pPr>
        <w:ind w:firstLine="640" w:firstLineChars="200"/>
        <w:rPr>
          <w:rFonts w:hint="eastAsia" w:ascii="??_GB2312" w:eastAsia="Times New Roman"/>
          <w:color w:val="000000" w:themeColor="text1"/>
          <w:sz w:val="32"/>
          <w:szCs w:val="32"/>
          <w14:textFill>
            <w14:solidFill>
              <w14:schemeClr w14:val="tx1"/>
            </w14:solidFill>
          </w14:textFill>
        </w:rPr>
      </w:pPr>
      <w:r>
        <w:rPr>
          <w:rFonts w:hint="eastAsia" w:ascii="??_GB2312" w:eastAsia="Times New Roman"/>
          <w:color w:val="000000" w:themeColor="text1"/>
          <w:sz w:val="32"/>
          <w:szCs w:val="32"/>
          <w14:textFill>
            <w14:solidFill>
              <w14:schemeClr w14:val="tx1"/>
            </w14:solidFill>
          </w14:textFill>
        </w:rPr>
        <w:t>不同单位的相同（似）工作经验证明可分别开具，工作年限可累计计算。</w:t>
      </w:r>
    </w:p>
    <w:p>
      <w:pPr>
        <w:ind w:firstLine="640" w:firstLineChars="200"/>
        <w:rPr>
          <w:rFonts w:hint="eastAsia" w:ascii="??_GB2312" w:eastAsia="Times New Roman"/>
          <w:color w:val="000000" w:themeColor="text1"/>
          <w:sz w:val="32"/>
          <w:szCs w:val="32"/>
          <w14:textFill>
            <w14:solidFill>
              <w14:schemeClr w14:val="tx1"/>
            </w14:solidFill>
          </w14:textFill>
        </w:rPr>
      </w:pPr>
      <w:r>
        <w:rPr>
          <w:rFonts w:hint="eastAsia" w:ascii="??_GB2312" w:eastAsia="Times New Roman"/>
          <w:color w:val="000000" w:themeColor="text1"/>
          <w:sz w:val="32"/>
          <w:szCs w:val="32"/>
          <w14:textFill>
            <w14:solidFill>
              <w14:schemeClr w14:val="tx1"/>
            </w14:solidFill>
          </w14:textFill>
        </w:rPr>
        <w:t>全日制普通教育期间的社会实践经历(含兼职工作等)，不能视为工作经验。</w:t>
      </w:r>
    </w:p>
    <w:p>
      <w:pPr>
        <w:pStyle w:val="2"/>
        <w:rPr>
          <w:rFonts w:ascii="黑体" w:hAnsi="黑体" w:eastAsia="黑体" w:cs="黑体"/>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九、笔试加分</w:t>
      </w:r>
      <w:bookmarkEnd w:id="152"/>
      <w:bookmarkEnd w:id="153"/>
      <w:bookmarkEnd w:id="154"/>
      <w:bookmarkEnd w:id="155"/>
      <w:bookmarkEnd w:id="156"/>
      <w:bookmarkEnd w:id="157"/>
      <w:bookmarkEnd w:id="158"/>
    </w:p>
    <w:p>
      <w:pPr>
        <w:pStyle w:val="2"/>
        <w:rPr>
          <w:rFonts w:ascii="楷体" w:hAnsi="楷体" w:eastAsia="楷体" w:cs="楷体"/>
          <w:color w:val="000000" w:themeColor="text1"/>
          <w:sz w:val="32"/>
          <w:szCs w:val="32"/>
          <w14:textFill>
            <w14:solidFill>
              <w14:schemeClr w14:val="tx1"/>
            </w14:solidFill>
          </w14:textFill>
        </w:rPr>
      </w:pPr>
      <w:bookmarkStart w:id="159" w:name="_Toc24269"/>
      <w:bookmarkStart w:id="160" w:name="_Toc1343"/>
      <w:bookmarkStart w:id="161" w:name="_Toc29712"/>
      <w:bookmarkStart w:id="162" w:name="_Toc31605"/>
      <w:bookmarkStart w:id="163" w:name="_Toc8544"/>
      <w:bookmarkStart w:id="164" w:name="_Toc15513"/>
      <w:bookmarkStart w:id="165" w:name="_Toc30306"/>
      <w:bookmarkStart w:id="166" w:name="_（一）加分原则"/>
      <w:r>
        <w:rPr>
          <w:rFonts w:hint="eastAsia" w:ascii="楷体" w:hAnsi="楷体" w:eastAsia="楷体" w:cs="楷体"/>
          <w:color w:val="000000" w:themeColor="text1"/>
          <w:sz w:val="32"/>
          <w:szCs w:val="32"/>
          <w14:textFill>
            <w14:solidFill>
              <w14:schemeClr w14:val="tx1"/>
            </w14:solidFill>
          </w14:textFill>
        </w:rPr>
        <w:t>（一）加分原则</w:t>
      </w:r>
      <w:bookmarkEnd w:id="159"/>
      <w:bookmarkEnd w:id="160"/>
      <w:bookmarkEnd w:id="161"/>
      <w:bookmarkEnd w:id="162"/>
      <w:bookmarkEnd w:id="163"/>
      <w:bookmarkEnd w:id="164"/>
      <w:bookmarkEnd w:id="165"/>
    </w:p>
    <w:bookmarkEnd w:id="166"/>
    <w:p>
      <w:pPr>
        <w:ind w:firstLine="640" w:firstLineChars="200"/>
        <w:rPr>
          <w:rFonts w:hint="eastAsia" w:ascii="??_GB2312" w:eastAsia="Times New Roman"/>
          <w:color w:val="000000" w:themeColor="text1"/>
          <w:sz w:val="32"/>
          <w:szCs w:val="32"/>
          <w14:textFill>
            <w14:solidFill>
              <w14:schemeClr w14:val="tx1"/>
            </w14:solidFill>
          </w14:textFill>
        </w:rPr>
      </w:pPr>
      <w:bookmarkStart w:id="167" w:name="_Toc7079"/>
      <w:bookmarkStart w:id="168" w:name="_Toc10919"/>
      <w:bookmarkStart w:id="169" w:name="_Toc12207"/>
      <w:bookmarkStart w:id="170" w:name="_Toc16321"/>
      <w:bookmarkStart w:id="171" w:name="_Toc10411"/>
      <w:bookmarkStart w:id="172" w:name="_Toc1319"/>
      <w:bookmarkStart w:id="173" w:name="_Toc9001"/>
      <w:r>
        <w:rPr>
          <w:rFonts w:hint="eastAsia" w:ascii="??_GB2312" w:eastAsia="Times New Roman"/>
          <w:color w:val="000000" w:themeColor="text1"/>
          <w:sz w:val="32"/>
          <w:szCs w:val="32"/>
          <w14:textFill>
            <w14:solidFill>
              <w14:schemeClr w14:val="tx1"/>
            </w14:solidFill>
          </w14:textFill>
        </w:rPr>
        <w:t>笔试成绩=笔试卷面分+加分。</w:t>
      </w:r>
    </w:p>
    <w:p>
      <w:pPr>
        <w:ind w:firstLine="640" w:firstLineChars="200"/>
        <w:rPr>
          <w:rFonts w:ascii="??_GB2312" w:eastAsia="Times New Roman"/>
          <w:color w:val="000000" w:themeColor="text1"/>
          <w:sz w:val="32"/>
          <w:szCs w:val="32"/>
          <w14:textFill>
            <w14:solidFill>
              <w14:schemeClr w14:val="tx1"/>
            </w14:solidFill>
          </w14:textFill>
        </w:rPr>
      </w:pPr>
      <w:r>
        <w:rPr>
          <w:rFonts w:hint="eastAsia" w:ascii="??_GB2312" w:eastAsia="Times New Roman"/>
          <w:color w:val="000000" w:themeColor="text1"/>
          <w:sz w:val="32"/>
          <w:szCs w:val="32"/>
          <w14:textFill>
            <w14:solidFill>
              <w14:schemeClr w14:val="tx1"/>
            </w14:solidFill>
          </w14:textFill>
        </w:rPr>
        <w:t>加分仅限于笔试卷面分，免笔试人员在面试环节不享受加分。加分不受笔试满分限制。各项加分可累计计算，但累计最高不超过10分。曾通过享受政策待遇被录（聘）为公务员或事业单位编内工作人员的，不再享受相应项目的加分。</w:t>
      </w:r>
    </w:p>
    <w:p>
      <w:pPr>
        <w:pStyle w:val="2"/>
        <w:rPr>
          <w:rFonts w:ascii="楷体" w:hAnsi="楷体" w:eastAsia="楷体" w:cs="楷体"/>
          <w:color w:val="000000" w:themeColor="text1"/>
          <w:sz w:val="32"/>
          <w:szCs w:val="32"/>
          <w14:textFill>
            <w14:solidFill>
              <w14:schemeClr w14:val="tx1"/>
            </w14:solidFill>
          </w14:textFill>
        </w:rPr>
      </w:pPr>
      <w:bookmarkStart w:id="174" w:name="_（二）加分政策"/>
      <w:r>
        <w:rPr>
          <w:rFonts w:hint="eastAsia" w:ascii="楷体" w:hAnsi="楷体" w:eastAsia="楷体" w:cs="楷体"/>
          <w:color w:val="000000" w:themeColor="text1"/>
          <w:sz w:val="32"/>
          <w:szCs w:val="32"/>
          <w14:textFill>
            <w14:solidFill>
              <w14:schemeClr w14:val="tx1"/>
            </w14:solidFill>
          </w14:textFill>
        </w:rPr>
        <w:t>（二）加分政策</w:t>
      </w:r>
      <w:bookmarkEnd w:id="167"/>
      <w:bookmarkEnd w:id="168"/>
      <w:bookmarkEnd w:id="169"/>
      <w:bookmarkEnd w:id="170"/>
      <w:bookmarkEnd w:id="171"/>
      <w:bookmarkEnd w:id="172"/>
      <w:bookmarkEnd w:id="173"/>
    </w:p>
    <w:bookmarkEnd w:id="174"/>
    <w:p>
      <w:pPr>
        <w:ind w:firstLine="640" w:firstLineChars="200"/>
        <w:rPr>
          <w:rFonts w:hint="eastAsia" w:ascii="??_GB2312" w:eastAsia="Times New Roman"/>
          <w:color w:val="000000" w:themeColor="text1"/>
          <w:sz w:val="32"/>
          <w:szCs w:val="32"/>
          <w14:textFill>
            <w14:solidFill>
              <w14:schemeClr w14:val="tx1"/>
            </w14:solidFill>
          </w14:textFill>
        </w:rPr>
      </w:pPr>
      <w:bookmarkStart w:id="175" w:name="_Toc18359_WPSOffice_Level1"/>
      <w:bookmarkStart w:id="176" w:name="_Toc5722"/>
      <w:bookmarkStart w:id="177" w:name="_Toc1601"/>
      <w:bookmarkStart w:id="178" w:name="_Toc29002"/>
      <w:bookmarkStart w:id="179" w:name="_Toc25623"/>
      <w:bookmarkStart w:id="180" w:name="_Toc25367"/>
      <w:bookmarkStart w:id="181" w:name="_Toc7131"/>
      <w:bookmarkStart w:id="182" w:name="_Toc3536"/>
      <w:r>
        <w:rPr>
          <w:rFonts w:hint="eastAsia" w:ascii="??_GB2312" w:eastAsia="Times New Roman"/>
          <w:color w:val="000000" w:themeColor="text1"/>
          <w:sz w:val="32"/>
          <w:szCs w:val="32"/>
          <w14:textFill>
            <w14:solidFill>
              <w14:schemeClr w14:val="tx1"/>
            </w14:solidFill>
          </w14:textFill>
        </w:rPr>
        <w:t>符合加分政策的报考者享受笔试加分待遇：</w:t>
      </w:r>
    </w:p>
    <w:p>
      <w:pPr>
        <w:ind w:left="643"/>
        <w:outlineLvl w:val="2"/>
        <w:rPr>
          <w:rFonts w:ascii="楷体" w:hAnsi="楷体" w:eastAsia="楷体" w:cs="楷体"/>
          <w:b/>
          <w:bCs/>
          <w:color w:val="000000" w:themeColor="text1"/>
          <w:sz w:val="32"/>
          <w:szCs w:val="32"/>
          <w14:textFill>
            <w14:solidFill>
              <w14:schemeClr w14:val="tx1"/>
            </w14:solidFill>
          </w14:textFill>
        </w:rPr>
      </w:pPr>
      <w:bookmarkStart w:id="183" w:name="_Toc21369"/>
      <w:r>
        <w:rPr>
          <w:rFonts w:ascii="楷体" w:hAnsi="楷体" w:eastAsia="楷体" w:cs="楷体"/>
          <w:b/>
          <w:bCs/>
          <w:color w:val="000000" w:themeColor="text1"/>
          <w:sz w:val="32"/>
          <w:szCs w:val="32"/>
          <w14:textFill>
            <w14:solidFill>
              <w14:schemeClr w14:val="tx1"/>
            </w14:solidFill>
          </w14:textFill>
        </w:rPr>
        <w:t>1.</w:t>
      </w:r>
      <w:r>
        <w:rPr>
          <w:rFonts w:hint="eastAsia" w:ascii="楷体" w:hAnsi="楷体" w:eastAsia="楷体" w:cs="楷体"/>
          <w:b/>
          <w:bCs/>
          <w:color w:val="000000" w:themeColor="text1"/>
          <w:sz w:val="32"/>
          <w:szCs w:val="32"/>
          <w14:textFill>
            <w14:solidFill>
              <w14:schemeClr w14:val="tx1"/>
            </w14:solidFill>
          </w14:textFill>
        </w:rPr>
        <w:t>服务基层项目高校毕业人员</w:t>
      </w:r>
      <w:bookmarkEnd w:id="183"/>
    </w:p>
    <w:p>
      <w:pPr>
        <w:ind w:firstLine="640" w:firstLineChars="200"/>
        <w:rPr>
          <w:rFonts w:hint="eastAsia" w:ascii="??_GB2312" w:eastAsia="Times New Roman"/>
          <w:color w:val="000000" w:themeColor="text1"/>
          <w:sz w:val="32"/>
          <w:szCs w:val="32"/>
          <w14:textFill>
            <w14:solidFill>
              <w14:schemeClr w14:val="tx1"/>
            </w14:solidFill>
          </w14:textFill>
        </w:rPr>
      </w:pPr>
      <w:r>
        <w:rPr>
          <w:rFonts w:hint="eastAsia" w:ascii="??_GB2312" w:eastAsia="Times New Roman"/>
          <w:color w:val="000000" w:themeColor="text1"/>
          <w:sz w:val="32"/>
          <w:szCs w:val="32"/>
          <w14:textFill>
            <w14:solidFill>
              <w14:schemeClr w14:val="tx1"/>
            </w14:solidFill>
          </w14:textFill>
        </w:rPr>
        <w:t>参加国家和福建省组织实施的“三支一扶”计划、“志愿服务西部计划”（含研究生支教团）、“志愿服务欠发达地区计划”、大学生“村官”和“服务社区计划”，服务期限为1年及以上且于报名截止日前期满考核合格的福建户籍或福建生源高校毕业人员：服务期限2年及以上且期满考核合格的，报考市属事业单位笔试卷面分加3分，报考区属事业单位笔试卷面分加5分；服务期限1年及以上不满2年且期满考核合格的，报考市属事业单位不加分，报考区属事业单位笔试卷面分加5分。</w:t>
      </w:r>
    </w:p>
    <w:p>
      <w:pPr>
        <w:ind w:left="643"/>
        <w:outlineLvl w:val="2"/>
        <w:rPr>
          <w:rFonts w:ascii="楷体" w:hAnsi="楷体" w:eastAsia="楷体" w:cs="楷体"/>
          <w:b/>
          <w:bCs/>
          <w:color w:val="000000" w:themeColor="text1"/>
          <w:sz w:val="32"/>
          <w:szCs w:val="32"/>
          <w14:textFill>
            <w14:solidFill>
              <w14:schemeClr w14:val="tx1"/>
            </w14:solidFill>
          </w14:textFill>
        </w:rPr>
      </w:pPr>
      <w:bookmarkStart w:id="184" w:name="_Toc32263"/>
      <w:r>
        <w:rPr>
          <w:rFonts w:ascii="楷体" w:hAnsi="楷体" w:eastAsia="楷体" w:cs="楷体"/>
          <w:b/>
          <w:bCs/>
          <w:color w:val="000000" w:themeColor="text1"/>
          <w:sz w:val="32"/>
          <w:szCs w:val="32"/>
          <w14:textFill>
            <w14:solidFill>
              <w14:schemeClr w14:val="tx1"/>
            </w14:solidFill>
          </w14:textFill>
        </w:rPr>
        <w:t>2.</w:t>
      </w:r>
      <w:r>
        <w:rPr>
          <w:rFonts w:hint="eastAsia" w:ascii="楷体" w:hAnsi="楷体" w:eastAsia="楷体" w:cs="楷体"/>
          <w:b/>
          <w:bCs/>
          <w:color w:val="000000" w:themeColor="text1"/>
          <w:sz w:val="32"/>
          <w:szCs w:val="32"/>
          <w14:textFill>
            <w14:solidFill>
              <w14:schemeClr w14:val="tx1"/>
            </w14:solidFill>
          </w14:textFill>
        </w:rPr>
        <w:t>退役士兵（含大学生退役士兵）</w:t>
      </w:r>
      <w:bookmarkEnd w:id="184"/>
    </w:p>
    <w:p>
      <w:pPr>
        <w:ind w:firstLine="640" w:firstLineChars="200"/>
        <w:rPr>
          <w:rFonts w:hint="eastAsia" w:ascii="??_GB2312" w:eastAsia="Times New Roman"/>
          <w:color w:val="000000" w:themeColor="text1"/>
          <w:sz w:val="32"/>
          <w:szCs w:val="32"/>
          <w14:textFill>
            <w14:solidFill>
              <w14:schemeClr w14:val="tx1"/>
            </w14:solidFill>
          </w14:textFill>
        </w:rPr>
      </w:pPr>
      <w:r>
        <w:rPr>
          <w:rFonts w:hint="eastAsia" w:ascii="??_GB2312" w:eastAsia="Times New Roman"/>
          <w:color w:val="000000" w:themeColor="text1"/>
          <w:sz w:val="32"/>
          <w:szCs w:val="32"/>
          <w14:textFill>
            <w14:solidFill>
              <w14:schemeClr w14:val="tx1"/>
            </w14:solidFill>
          </w14:textFill>
        </w:rPr>
        <w:t>由福建省兵役机关批准入伍或福建生源的退役士兵（在福建省外应征入伍，但已于报名截止日前取得福建户籍的可参照），可享受以下笔试卷面分加分：服役满13年以上的加8分;服役满9年至12年的加6分;服役满6年至8年的加4分;服役满3年至5年的加2分;荣立二等功及以上的另加3分/次;荣立三等功的另加2分/次;获得优秀士官或优秀士兵或优秀义务兵荣誉称号的另加1分/次;伤残士兵另加3分;对在边防、高原、海岛等艰苦地区或从事飞行、舰艇工作5年及以上的，除享受以上加分外可再加3分；全日制普通教育大专以上学历学生在校期间应征入伍且退役后继续完成学业的，毕业后加5分；全日制普通教育大专以上学历毕业生应征入伍的，退役后加5分。</w:t>
      </w:r>
    </w:p>
    <w:p>
      <w:pPr>
        <w:ind w:left="643"/>
        <w:outlineLvl w:val="2"/>
        <w:rPr>
          <w:rFonts w:ascii="楷体" w:hAnsi="楷体" w:eastAsia="楷体" w:cs="楷体"/>
          <w:b/>
          <w:bCs/>
          <w:color w:val="000000" w:themeColor="text1"/>
          <w:sz w:val="32"/>
          <w:szCs w:val="32"/>
          <w14:textFill>
            <w14:solidFill>
              <w14:schemeClr w14:val="tx1"/>
            </w14:solidFill>
          </w14:textFill>
        </w:rPr>
      </w:pPr>
      <w:bookmarkStart w:id="185" w:name="_Toc28909"/>
      <w:r>
        <w:rPr>
          <w:rFonts w:ascii="楷体" w:hAnsi="楷体" w:eastAsia="楷体" w:cs="楷体"/>
          <w:b/>
          <w:bCs/>
          <w:color w:val="000000" w:themeColor="text1"/>
          <w:sz w:val="32"/>
          <w:szCs w:val="32"/>
          <w14:textFill>
            <w14:solidFill>
              <w14:schemeClr w14:val="tx1"/>
            </w14:solidFill>
          </w14:textFill>
        </w:rPr>
        <w:t>3.</w:t>
      </w:r>
      <w:r>
        <w:rPr>
          <w:rFonts w:hint="eastAsia" w:ascii="楷体" w:hAnsi="楷体" w:eastAsia="楷体" w:cs="楷体"/>
          <w:b/>
          <w:bCs/>
          <w:color w:val="000000" w:themeColor="text1"/>
          <w:sz w:val="32"/>
          <w:szCs w:val="32"/>
          <w14:textFill>
            <w14:solidFill>
              <w14:schemeClr w14:val="tx1"/>
            </w14:solidFill>
          </w14:textFill>
        </w:rPr>
        <w:t>退役优秀运动员</w:t>
      </w:r>
      <w:bookmarkEnd w:id="185"/>
    </w:p>
    <w:p>
      <w:pPr>
        <w:ind w:firstLine="640" w:firstLineChars="200"/>
        <w:rPr>
          <w:rFonts w:hint="eastAsia" w:ascii="??_GB2312" w:eastAsia="Times New Roman"/>
          <w:color w:val="000000" w:themeColor="text1"/>
          <w:sz w:val="32"/>
          <w:szCs w:val="32"/>
          <w14:textFill>
            <w14:solidFill>
              <w14:schemeClr w14:val="tx1"/>
            </w14:solidFill>
          </w14:textFill>
        </w:rPr>
      </w:pPr>
      <w:r>
        <w:rPr>
          <w:rFonts w:hint="eastAsia" w:ascii="??_GB2312" w:eastAsia="Times New Roman"/>
          <w:color w:val="000000" w:themeColor="text1"/>
          <w:sz w:val="32"/>
          <w:szCs w:val="32"/>
          <w14:textFill>
            <w14:solidFill>
              <w14:schemeClr w14:val="tx1"/>
            </w14:solidFill>
          </w14:textFill>
        </w:rPr>
        <w:t>厦门市退役优秀运动员，可享受以下笔试卷面分加分：曾获得世界体育三大比赛（奥运会、世锦赛、世界杯）第2至第6名，亚洲体育三大比赛（亚运会、亚锦赛、亚洲杯）或全运会第2或第3名，全国锦标赛、全国冠军赛或篮球、排球、足球全国职业联赛第1名的，加9分；曾获得省运动会冠军，全国锦标赛、全国冠军赛或篮球、排球、足球全国职业联赛第2或第3名，亚洲体育三大比赛（亚运会、亚锦赛、亚洲杯）第4至第6名的，加7分。</w:t>
      </w:r>
    </w:p>
    <w:p>
      <w:pPr>
        <w:pStyle w:val="2"/>
        <w:rPr>
          <w:rFonts w:ascii="楷体" w:hAnsi="楷体" w:eastAsia="楷体" w:cs="楷体"/>
          <w:color w:val="000000" w:themeColor="text1"/>
          <w:sz w:val="32"/>
          <w:szCs w:val="32"/>
          <w14:textFill>
            <w14:solidFill>
              <w14:schemeClr w14:val="tx1"/>
            </w14:solidFill>
          </w14:textFill>
        </w:rPr>
      </w:pPr>
      <w:bookmarkStart w:id="186" w:name="_Toc5497"/>
      <w:bookmarkStart w:id="187" w:name="_Toc25623_WPSOffice_Level2"/>
      <w:bookmarkStart w:id="188" w:name="_Toc31621"/>
      <w:bookmarkStart w:id="189" w:name="_Toc7835"/>
      <w:bookmarkStart w:id="190" w:name="_Toc12555"/>
      <w:bookmarkStart w:id="191" w:name="_Toc3504"/>
      <w:bookmarkStart w:id="192" w:name="_Toc19099"/>
      <w:bookmarkStart w:id="193" w:name="_Toc8388"/>
      <w:bookmarkStart w:id="194" w:name="_Toc17257"/>
      <w:bookmarkStart w:id="195" w:name="_（三）加分证明"/>
      <w:r>
        <w:rPr>
          <w:rFonts w:hint="eastAsia" w:ascii="楷体" w:hAnsi="楷体" w:eastAsia="楷体" w:cs="楷体"/>
          <w:color w:val="000000" w:themeColor="text1"/>
          <w:sz w:val="32"/>
          <w:szCs w:val="32"/>
          <w14:textFill>
            <w14:solidFill>
              <w14:schemeClr w14:val="tx1"/>
            </w14:solidFill>
          </w14:textFill>
        </w:rPr>
        <w:t>（三）加分证明</w:t>
      </w:r>
      <w:bookmarkEnd w:id="186"/>
      <w:bookmarkEnd w:id="187"/>
      <w:bookmarkEnd w:id="188"/>
      <w:bookmarkEnd w:id="189"/>
      <w:bookmarkEnd w:id="190"/>
      <w:bookmarkEnd w:id="191"/>
      <w:bookmarkEnd w:id="192"/>
      <w:bookmarkEnd w:id="193"/>
      <w:bookmarkEnd w:id="194"/>
    </w:p>
    <w:bookmarkEnd w:id="195"/>
    <w:p>
      <w:pPr>
        <w:ind w:firstLine="640" w:firstLineChars="200"/>
        <w:rPr>
          <w:rFonts w:hint="eastAsia" w:ascii="??_GB2312" w:eastAsia="Times New Roman"/>
          <w:color w:val="000000" w:themeColor="text1"/>
          <w:sz w:val="32"/>
          <w:szCs w:val="32"/>
          <w14:textFill>
            <w14:solidFill>
              <w14:schemeClr w14:val="tx1"/>
            </w14:solidFill>
          </w14:textFill>
        </w:rPr>
      </w:pPr>
      <w:r>
        <w:rPr>
          <w:rFonts w:hint="eastAsia" w:ascii="??_GB2312" w:eastAsia="Times New Roman"/>
          <w:color w:val="000000" w:themeColor="text1"/>
          <w:sz w:val="32"/>
          <w:szCs w:val="32"/>
          <w14:textFill>
            <w14:solidFill>
              <w14:schemeClr w14:val="tx1"/>
            </w14:solidFill>
          </w14:textFill>
        </w:rPr>
        <w:t>符合加分政策的报考者须在报名时如实填报和上传加分证明资料，并于报名期间向招聘单位提交（提交方式请与招聘单位联系）以下资料的原件及复印件（复印件需依序装订成册，一式2份），否则视为自动放弃享受加分政策：</w:t>
      </w:r>
    </w:p>
    <w:p>
      <w:pPr>
        <w:ind w:firstLine="640" w:firstLineChars="200"/>
        <w:rPr>
          <w:rFonts w:hint="eastAsia" w:ascii="??_GB2312" w:eastAsia="Times New Roman"/>
          <w:color w:val="000000" w:themeColor="text1"/>
          <w:sz w:val="32"/>
          <w:szCs w:val="32"/>
          <w14:textFill>
            <w14:solidFill>
              <w14:schemeClr w14:val="tx1"/>
            </w14:solidFill>
          </w14:textFill>
        </w:rPr>
      </w:pPr>
      <w:r>
        <w:rPr>
          <w:rFonts w:hint="eastAsia" w:ascii="??_GB2312" w:eastAsia="Times New Roman"/>
          <w:color w:val="000000" w:themeColor="text1"/>
          <w:sz w:val="32"/>
          <w:szCs w:val="32"/>
          <w14:textFill>
            <w14:solidFill>
              <w14:schemeClr w14:val="tx1"/>
            </w14:solidFill>
          </w14:textFill>
        </w:rPr>
        <w:t>1.基本资料：本人有效身份证正反面、户口本首页及个人页、学历（位）证；</w:t>
      </w:r>
    </w:p>
    <w:p>
      <w:pPr>
        <w:ind w:firstLine="640" w:firstLineChars="200"/>
        <w:rPr>
          <w:rFonts w:hint="eastAsia" w:ascii="??_GB2312" w:eastAsia="Times New Roman"/>
          <w:color w:val="000000" w:themeColor="text1"/>
          <w:sz w:val="32"/>
          <w:szCs w:val="32"/>
          <w14:textFill>
            <w14:solidFill>
              <w14:schemeClr w14:val="tx1"/>
            </w14:solidFill>
          </w14:textFill>
        </w:rPr>
      </w:pPr>
      <w:r>
        <w:rPr>
          <w:rFonts w:hint="eastAsia" w:ascii="??_GB2312" w:eastAsia="Times New Roman"/>
          <w:color w:val="000000" w:themeColor="text1"/>
          <w:sz w:val="32"/>
          <w:szCs w:val="32"/>
          <w14:textFill>
            <w14:solidFill>
              <w14:schemeClr w14:val="tx1"/>
            </w14:solidFill>
          </w14:textFill>
        </w:rPr>
        <w:t>2.证明资料：</w:t>
      </w:r>
    </w:p>
    <w:p>
      <w:pPr>
        <w:ind w:firstLine="640" w:firstLineChars="200"/>
        <w:rPr>
          <w:rFonts w:hint="eastAsia" w:ascii="??_GB2312" w:eastAsia="Times New Roman"/>
          <w:color w:val="000000" w:themeColor="text1"/>
          <w:sz w:val="32"/>
          <w:szCs w:val="32"/>
          <w14:textFill>
            <w14:solidFill>
              <w14:schemeClr w14:val="tx1"/>
            </w14:solidFill>
          </w14:textFill>
        </w:rPr>
      </w:pPr>
      <w:r>
        <w:rPr>
          <w:rFonts w:hint="eastAsia" w:ascii="??_GB2312" w:eastAsia="Times New Roman"/>
          <w:color w:val="000000" w:themeColor="text1"/>
          <w:sz w:val="32"/>
          <w:szCs w:val="32"/>
          <w14:textFill>
            <w14:solidFill>
              <w14:schemeClr w14:val="tx1"/>
            </w14:solidFill>
          </w14:textFill>
        </w:rPr>
        <w:t>（1）服务基层项目毕业生需提交组织实施相应项目的机构出具的服务基层期满考核合格证书（或服务期满考核合格材料）及福建户籍或福建生源证明材料。</w:t>
      </w:r>
    </w:p>
    <w:p>
      <w:pPr>
        <w:ind w:firstLine="640" w:firstLineChars="200"/>
        <w:rPr>
          <w:rFonts w:hint="eastAsia" w:ascii="??_GB2312" w:eastAsia="Times New Roman"/>
          <w:color w:val="000000" w:themeColor="text1"/>
          <w:sz w:val="32"/>
          <w:szCs w:val="32"/>
          <w14:textFill>
            <w14:solidFill>
              <w14:schemeClr w14:val="tx1"/>
            </w14:solidFill>
          </w14:textFill>
        </w:rPr>
      </w:pPr>
      <w:r>
        <w:rPr>
          <w:rFonts w:hint="eastAsia" w:ascii="??_GB2312" w:eastAsia="Times New Roman"/>
          <w:color w:val="000000" w:themeColor="text1"/>
          <w:sz w:val="32"/>
          <w:szCs w:val="32"/>
          <w14:textFill>
            <w14:solidFill>
              <w14:schemeClr w14:val="tx1"/>
            </w14:solidFill>
          </w14:textFill>
        </w:rPr>
        <w:t>（2）符合加分政策的退役士兵（含大学生退役士兵）安置在厦门市的，可于上班时间持身份证、退伍证前往厦门市退役军人事务局移交安置与就业创业处开具证明材料（联系电话0592-2226263）；安置在厦门市以外的，可由安置地县级及以上退役军人事务部门开具证明。</w:t>
      </w:r>
    </w:p>
    <w:p>
      <w:pPr>
        <w:ind w:firstLine="640" w:firstLineChars="200"/>
        <w:rPr>
          <w:rFonts w:hint="eastAsia" w:ascii="??_GB2312" w:eastAsia="Times New Roman"/>
          <w:color w:val="000000" w:themeColor="text1"/>
          <w:sz w:val="32"/>
          <w:szCs w:val="32"/>
          <w14:textFill>
            <w14:solidFill>
              <w14:schemeClr w14:val="tx1"/>
            </w14:solidFill>
          </w14:textFill>
        </w:rPr>
      </w:pPr>
      <w:r>
        <w:rPr>
          <w:rFonts w:hint="eastAsia" w:ascii="??_GB2312" w:eastAsia="Times New Roman"/>
          <w:color w:val="000000" w:themeColor="text1"/>
          <w:sz w:val="32"/>
          <w:szCs w:val="32"/>
          <w14:textFill>
            <w14:solidFill>
              <w14:schemeClr w14:val="tx1"/>
            </w14:solidFill>
          </w14:textFill>
        </w:rPr>
        <w:t>（3）符合加分政策的我市退役优秀运动员可持相应奖项证书前往厦门市体育局人事处开具证明材料(联系电话0592-5339323)。</w:t>
      </w:r>
    </w:p>
    <w:p>
      <w:pPr>
        <w:pStyle w:val="2"/>
        <w:rPr>
          <w:rFonts w:ascii="黑体" w:hAnsi="黑体" w:eastAsia="黑体" w:cs="黑体"/>
          <w:color w:val="000000" w:themeColor="text1"/>
          <w:sz w:val="32"/>
          <w:szCs w:val="32"/>
          <w14:textFill>
            <w14:solidFill>
              <w14:schemeClr w14:val="tx1"/>
            </w14:solidFill>
          </w14:textFill>
        </w:rPr>
      </w:pPr>
      <w:bookmarkStart w:id="196" w:name="_十、体检"/>
      <w:r>
        <w:rPr>
          <w:rFonts w:hint="eastAsia" w:ascii="黑体" w:hAnsi="黑体" w:eastAsia="黑体" w:cs="黑体"/>
          <w:color w:val="000000" w:themeColor="text1"/>
          <w:sz w:val="32"/>
          <w:szCs w:val="32"/>
          <w14:textFill>
            <w14:solidFill>
              <w14:schemeClr w14:val="tx1"/>
            </w14:solidFill>
          </w14:textFill>
        </w:rPr>
        <w:t>十、</w:t>
      </w:r>
      <w:bookmarkEnd w:id="175"/>
      <w:r>
        <w:rPr>
          <w:rFonts w:hint="eastAsia" w:ascii="黑体" w:hAnsi="黑体" w:eastAsia="黑体" w:cs="黑体"/>
          <w:color w:val="000000" w:themeColor="text1"/>
          <w:sz w:val="32"/>
          <w:szCs w:val="32"/>
          <w14:textFill>
            <w14:solidFill>
              <w14:schemeClr w14:val="tx1"/>
            </w14:solidFill>
          </w14:textFill>
        </w:rPr>
        <w:t>体检</w:t>
      </w:r>
      <w:bookmarkEnd w:id="176"/>
      <w:bookmarkEnd w:id="177"/>
      <w:bookmarkEnd w:id="178"/>
      <w:bookmarkEnd w:id="179"/>
      <w:bookmarkEnd w:id="180"/>
      <w:bookmarkEnd w:id="181"/>
      <w:bookmarkEnd w:id="182"/>
    </w:p>
    <w:bookmarkEnd w:id="196"/>
    <w:p>
      <w:pPr>
        <w:pStyle w:val="2"/>
        <w:rPr>
          <w:rFonts w:ascii="楷体" w:hAnsi="楷体" w:eastAsia="楷体" w:cs="楷体"/>
          <w:color w:val="000000" w:themeColor="text1"/>
          <w:sz w:val="32"/>
          <w:szCs w:val="32"/>
          <w14:textFill>
            <w14:solidFill>
              <w14:schemeClr w14:val="tx1"/>
            </w14:solidFill>
          </w14:textFill>
        </w:rPr>
      </w:pPr>
      <w:bookmarkStart w:id="197" w:name="_Toc19599"/>
      <w:bookmarkStart w:id="198" w:name="_Toc32234"/>
      <w:bookmarkStart w:id="199" w:name="_Toc27716"/>
      <w:bookmarkStart w:id="200" w:name="_Toc27514"/>
      <w:bookmarkStart w:id="201" w:name="_Toc27190"/>
      <w:bookmarkStart w:id="202" w:name="_Toc28695"/>
      <w:bookmarkStart w:id="203" w:name="_Toc3"/>
      <w:bookmarkStart w:id="204" w:name="_（一）确定人选"/>
      <w:r>
        <w:rPr>
          <w:rFonts w:hint="eastAsia" w:ascii="楷体" w:hAnsi="楷体" w:eastAsia="楷体" w:cs="楷体"/>
          <w:color w:val="000000" w:themeColor="text1"/>
          <w:sz w:val="32"/>
          <w:szCs w:val="32"/>
          <w14:textFill>
            <w14:solidFill>
              <w14:schemeClr w14:val="tx1"/>
            </w14:solidFill>
          </w14:textFill>
        </w:rPr>
        <w:t>（一）确定人选</w:t>
      </w:r>
      <w:bookmarkEnd w:id="197"/>
      <w:bookmarkEnd w:id="198"/>
      <w:bookmarkEnd w:id="199"/>
      <w:bookmarkEnd w:id="200"/>
      <w:bookmarkEnd w:id="201"/>
      <w:bookmarkEnd w:id="202"/>
      <w:bookmarkEnd w:id="203"/>
    </w:p>
    <w:bookmarkEnd w:id="204"/>
    <w:p>
      <w:pPr>
        <w:ind w:firstLine="640" w:firstLineChars="200"/>
        <w:rPr>
          <w:rFonts w:hint="eastAsia" w:ascii="??_GB2312" w:eastAsia="Times New Roman"/>
          <w:color w:val="000000" w:themeColor="text1"/>
          <w:sz w:val="32"/>
          <w:szCs w:val="32"/>
          <w14:textFill>
            <w14:solidFill>
              <w14:schemeClr w14:val="tx1"/>
            </w14:solidFill>
          </w14:textFill>
        </w:rPr>
      </w:pPr>
      <w:r>
        <w:rPr>
          <w:rFonts w:hint="eastAsia" w:ascii="??_GB2312" w:eastAsia="Times New Roman"/>
          <w:color w:val="000000" w:themeColor="text1"/>
          <w:sz w:val="32"/>
          <w:szCs w:val="32"/>
          <w14:textFill>
            <w14:solidFill>
              <w14:schemeClr w14:val="tx1"/>
            </w14:solidFill>
          </w14:textFill>
        </w:rPr>
        <w:t>体检人选由从笔试、面试成绩均合格者中，根据综合总分排名，按岗位拟聘人数1:1的比例从高分至低分确定。如遇综合总分相同，按以下规则进一步确定名次排列：</w:t>
      </w:r>
    </w:p>
    <w:p>
      <w:pPr>
        <w:ind w:firstLine="640" w:firstLineChars="200"/>
        <w:rPr>
          <w:rFonts w:hint="eastAsia" w:ascii="??_GB2312" w:eastAsia="Times New Roman"/>
          <w:color w:val="000000" w:themeColor="text1"/>
          <w:sz w:val="32"/>
          <w:szCs w:val="32"/>
          <w14:textFill>
            <w14:solidFill>
              <w14:schemeClr w14:val="tx1"/>
            </w14:solidFill>
          </w14:textFill>
        </w:rPr>
      </w:pPr>
      <w:r>
        <w:rPr>
          <w:rFonts w:hint="eastAsia" w:ascii="??_GB2312" w:eastAsia="Times New Roman"/>
          <w:color w:val="000000" w:themeColor="text1"/>
          <w:sz w:val="32"/>
          <w:szCs w:val="32"/>
          <w14:textFill>
            <w14:solidFill>
              <w14:schemeClr w14:val="tx1"/>
            </w14:solidFill>
          </w14:textFill>
        </w:rPr>
        <w:t>1.按笔试成绩从高到低排列；</w:t>
      </w:r>
    </w:p>
    <w:p>
      <w:pPr>
        <w:ind w:firstLine="640" w:firstLineChars="200"/>
        <w:rPr>
          <w:rFonts w:hint="eastAsia" w:ascii="??_GB2312" w:eastAsia="Times New Roman"/>
          <w:color w:val="000000" w:themeColor="text1"/>
          <w:sz w:val="32"/>
          <w:szCs w:val="32"/>
          <w14:textFill>
            <w14:solidFill>
              <w14:schemeClr w14:val="tx1"/>
            </w14:solidFill>
          </w14:textFill>
        </w:rPr>
      </w:pPr>
      <w:r>
        <w:rPr>
          <w:rFonts w:hint="eastAsia" w:ascii="??_GB2312" w:eastAsia="Times New Roman"/>
          <w:color w:val="000000" w:themeColor="text1"/>
          <w:sz w:val="32"/>
          <w:szCs w:val="32"/>
          <w14:textFill>
            <w14:solidFill>
              <w14:schemeClr w14:val="tx1"/>
            </w14:solidFill>
          </w14:textFill>
        </w:rPr>
        <w:t>2.笔试成绩又相同，按面试成绩排列；</w:t>
      </w:r>
    </w:p>
    <w:p>
      <w:pPr>
        <w:ind w:firstLine="640" w:firstLineChars="200"/>
        <w:rPr>
          <w:rFonts w:hint="eastAsia" w:ascii="??_GB2312" w:eastAsia="Times New Roman"/>
          <w:color w:val="000000" w:themeColor="text1"/>
          <w:sz w:val="32"/>
          <w:szCs w:val="32"/>
          <w14:textFill>
            <w14:solidFill>
              <w14:schemeClr w14:val="tx1"/>
            </w14:solidFill>
          </w14:textFill>
        </w:rPr>
      </w:pPr>
      <w:r>
        <w:rPr>
          <w:rFonts w:hint="eastAsia" w:ascii="??_GB2312" w:eastAsia="Times New Roman"/>
          <w:color w:val="000000" w:themeColor="text1"/>
          <w:sz w:val="32"/>
          <w:szCs w:val="32"/>
          <w14:textFill>
            <w14:solidFill>
              <w14:schemeClr w14:val="tx1"/>
            </w14:solidFill>
          </w14:textFill>
        </w:rPr>
        <w:t>3.面试成绩依然相同，符合国家、福建省或厦门市文件规定优先对象的，优先进入体检。若无优先对象或存在2名（含）以上优先对象，可由考生在协商一致的情况下签名同意自行采取简易方式确定最终进入体检环节人选，或经招聘单位同意加试一场面试，取重新面试成绩较高者进入体检。</w:t>
      </w:r>
    </w:p>
    <w:p>
      <w:pPr>
        <w:pStyle w:val="2"/>
        <w:rPr>
          <w:rFonts w:ascii="楷体" w:hAnsi="楷体" w:eastAsia="楷体" w:cs="楷体"/>
          <w:color w:val="000000" w:themeColor="text1"/>
          <w:sz w:val="32"/>
          <w:szCs w:val="32"/>
          <w14:textFill>
            <w14:solidFill>
              <w14:schemeClr w14:val="tx1"/>
            </w14:solidFill>
          </w14:textFill>
        </w:rPr>
      </w:pPr>
      <w:bookmarkStart w:id="205" w:name="_Toc17027"/>
      <w:bookmarkStart w:id="206" w:name="_Toc5078"/>
      <w:bookmarkStart w:id="207" w:name="_Toc29898"/>
      <w:bookmarkStart w:id="208" w:name="_Toc28613"/>
      <w:bookmarkStart w:id="209" w:name="_Toc15471"/>
      <w:bookmarkStart w:id="210" w:name="_Toc31894"/>
      <w:bookmarkStart w:id="211" w:name="_Toc25487"/>
      <w:r>
        <w:rPr>
          <w:rFonts w:hint="eastAsia" w:ascii="楷体" w:hAnsi="楷体" w:eastAsia="楷体" w:cs="楷体"/>
          <w:color w:val="000000" w:themeColor="text1"/>
          <w:sz w:val="32"/>
          <w:szCs w:val="32"/>
          <w14:textFill>
            <w14:solidFill>
              <w14:schemeClr w14:val="tx1"/>
            </w14:solidFill>
          </w14:textFill>
        </w:rPr>
        <w:t>（二）组织体检</w:t>
      </w:r>
      <w:bookmarkEnd w:id="205"/>
      <w:bookmarkEnd w:id="206"/>
      <w:bookmarkEnd w:id="207"/>
      <w:bookmarkEnd w:id="208"/>
      <w:bookmarkEnd w:id="209"/>
      <w:bookmarkEnd w:id="210"/>
      <w:bookmarkEnd w:id="211"/>
    </w:p>
    <w:p>
      <w:pPr>
        <w:ind w:firstLine="640" w:firstLineChars="200"/>
        <w:rPr>
          <w:rFonts w:hint="eastAsia" w:ascii="??_GB2312" w:eastAsia="Times New Roman"/>
          <w:color w:val="000000" w:themeColor="text1"/>
          <w:sz w:val="32"/>
          <w:szCs w:val="32"/>
          <w14:textFill>
            <w14:solidFill>
              <w14:schemeClr w14:val="tx1"/>
            </w14:solidFill>
          </w14:textFill>
        </w:rPr>
      </w:pPr>
      <w:r>
        <w:rPr>
          <w:rFonts w:hint="eastAsia" w:ascii="??_GB2312" w:eastAsia="Times New Roman"/>
          <w:color w:val="000000" w:themeColor="text1"/>
          <w:sz w:val="32"/>
          <w:szCs w:val="32"/>
          <w14:textFill>
            <w14:solidFill>
              <w14:schemeClr w14:val="tx1"/>
            </w14:solidFill>
          </w14:textFill>
        </w:rPr>
        <w:t>体检由招聘单位组织实施。体检人员应根据招聘单位通知要求按时参加并配合体检，否则视为自动放弃体检资格。</w:t>
      </w:r>
    </w:p>
    <w:p>
      <w:pPr>
        <w:pStyle w:val="2"/>
        <w:rPr>
          <w:rFonts w:ascii="楷体" w:hAnsi="楷体" w:eastAsia="楷体" w:cs="楷体"/>
          <w:color w:val="000000" w:themeColor="text1"/>
          <w:sz w:val="32"/>
          <w:szCs w:val="32"/>
          <w14:textFill>
            <w14:solidFill>
              <w14:schemeClr w14:val="tx1"/>
            </w14:solidFill>
          </w14:textFill>
        </w:rPr>
      </w:pPr>
      <w:bookmarkStart w:id="212" w:name="_Toc21764"/>
      <w:bookmarkStart w:id="213" w:name="_Toc14139"/>
      <w:bookmarkStart w:id="214" w:name="_Toc5442"/>
      <w:bookmarkStart w:id="215" w:name="_Toc30279"/>
      <w:bookmarkStart w:id="216" w:name="_Toc8135"/>
      <w:bookmarkStart w:id="217" w:name="_Toc12596"/>
      <w:bookmarkStart w:id="218" w:name="_Toc20421"/>
      <w:bookmarkStart w:id="219" w:name="_（三）体检依据"/>
      <w:r>
        <w:rPr>
          <w:rFonts w:hint="eastAsia" w:ascii="楷体" w:hAnsi="楷体" w:eastAsia="楷体" w:cs="楷体"/>
          <w:color w:val="000000" w:themeColor="text1"/>
          <w:sz w:val="32"/>
          <w:szCs w:val="32"/>
          <w14:textFill>
            <w14:solidFill>
              <w14:schemeClr w14:val="tx1"/>
            </w14:solidFill>
          </w14:textFill>
        </w:rPr>
        <w:t>（三）体检依据</w:t>
      </w:r>
      <w:bookmarkEnd w:id="212"/>
      <w:bookmarkEnd w:id="213"/>
      <w:bookmarkEnd w:id="214"/>
      <w:bookmarkEnd w:id="215"/>
      <w:bookmarkEnd w:id="216"/>
      <w:bookmarkEnd w:id="217"/>
      <w:bookmarkEnd w:id="218"/>
    </w:p>
    <w:bookmarkEnd w:id="219"/>
    <w:p>
      <w:pPr>
        <w:ind w:firstLine="640" w:firstLineChars="200"/>
        <w:rPr>
          <w:rFonts w:hint="eastAsia" w:ascii="??_GB2312" w:eastAsia="Times New Roman"/>
          <w:color w:val="000000" w:themeColor="text1"/>
          <w:sz w:val="32"/>
          <w:szCs w:val="32"/>
          <w14:textFill>
            <w14:solidFill>
              <w14:schemeClr w14:val="tx1"/>
            </w14:solidFill>
          </w14:textFill>
        </w:rPr>
      </w:pPr>
      <w:bookmarkStart w:id="220" w:name="_Toc23446"/>
      <w:bookmarkStart w:id="221" w:name="_Toc16484"/>
      <w:bookmarkStart w:id="222" w:name="_Toc16762"/>
      <w:bookmarkStart w:id="223" w:name="_Toc30928"/>
      <w:bookmarkStart w:id="224" w:name="_Toc13211"/>
      <w:bookmarkStart w:id="225" w:name="_Toc29748"/>
      <w:bookmarkStart w:id="226" w:name="_Toc13607"/>
      <w:r>
        <w:rPr>
          <w:rFonts w:hint="eastAsia" w:ascii="??_GB2312" w:eastAsia="Times New Roman"/>
          <w:color w:val="000000" w:themeColor="text1"/>
          <w:sz w:val="32"/>
          <w:szCs w:val="32"/>
          <w14:textFill>
            <w14:solidFill>
              <w14:schemeClr w14:val="tx1"/>
            </w14:solidFill>
          </w14:textFill>
        </w:rPr>
        <w:t>本次招聘体检参照《公务员录用体检通用标准（试行）》和《公务员录用体检操作手册（试行）》和《关于修订〈公务员录用体检通用标准（试行）〉及〈公务员录用体检操作手册（试行）〉的通知》（人社部发〔2016〕140号）等文件的要求，具体检测方法由体检医院结合实际确定。</w:t>
      </w:r>
    </w:p>
    <w:p>
      <w:pPr>
        <w:ind w:firstLine="640" w:firstLineChars="200"/>
        <w:rPr>
          <w:rFonts w:hint="eastAsia" w:ascii="??_GB2312" w:eastAsia="Times New Roman"/>
          <w:color w:val="000000" w:themeColor="text1"/>
          <w:sz w:val="32"/>
          <w:szCs w:val="32"/>
          <w14:textFill>
            <w14:solidFill>
              <w14:schemeClr w14:val="tx1"/>
            </w14:solidFill>
          </w14:textFill>
        </w:rPr>
      </w:pPr>
      <w:r>
        <w:rPr>
          <w:rFonts w:hint="eastAsia" w:ascii="??_GB2312" w:eastAsia="Times New Roman"/>
          <w:color w:val="000000" w:themeColor="text1"/>
          <w:sz w:val="32"/>
          <w:szCs w:val="32"/>
          <w14:textFill>
            <w14:solidFill>
              <w14:schemeClr w14:val="tx1"/>
            </w14:solidFill>
          </w14:textFill>
        </w:rPr>
        <w:t>从事放射岗位人员还需根据《放射工作人员职业健康监护技术规范》（卫通〔2011〕2号）完成岗前必检项目的体检。从事医学检验岗位人员体检结果还应满足《公务员录用体检特殊标准（试行）》（人社部发〔2010〕82号）对身体条件的要求。厦门市中心血站采供血护士、检验技师1和检验技师2岗位体检人员需符合《血站质量管理规范》要求。</w:t>
      </w:r>
    </w:p>
    <w:p>
      <w:pPr>
        <w:ind w:firstLine="640" w:firstLineChars="200"/>
        <w:rPr>
          <w:rFonts w:hint="eastAsia" w:ascii="??_GB2312" w:eastAsia="Times New Roman"/>
          <w:color w:val="000000" w:themeColor="text1"/>
          <w:sz w:val="32"/>
          <w:szCs w:val="32"/>
          <w14:textFill>
            <w14:solidFill>
              <w14:schemeClr w14:val="tx1"/>
            </w14:solidFill>
          </w14:textFill>
        </w:rPr>
      </w:pPr>
      <w:r>
        <w:rPr>
          <w:rFonts w:hint="eastAsia" w:ascii="??_GB2312" w:eastAsia="Times New Roman"/>
          <w:color w:val="000000" w:themeColor="text1"/>
          <w:sz w:val="32"/>
          <w:szCs w:val="32"/>
          <w14:textFill>
            <w14:solidFill>
              <w14:schemeClr w14:val="tx1"/>
            </w14:solidFill>
          </w14:textFill>
        </w:rPr>
        <w:t>体（复）检费用个人自理。</w:t>
      </w:r>
    </w:p>
    <w:p>
      <w:pPr>
        <w:pStyle w:val="2"/>
        <w:rPr>
          <w:rFonts w:ascii="楷体" w:hAnsi="楷体" w:eastAsia="楷体" w:cs="楷体"/>
          <w:color w:val="000000" w:themeColor="text1"/>
          <w:sz w:val="32"/>
          <w:szCs w:val="32"/>
          <w14:textFill>
            <w14:solidFill>
              <w14:schemeClr w14:val="tx1"/>
            </w14:solidFill>
          </w14:textFill>
        </w:rPr>
      </w:pPr>
      <w:bookmarkStart w:id="227" w:name="_（四）体检复检"/>
      <w:r>
        <w:rPr>
          <w:rFonts w:hint="eastAsia" w:ascii="楷体" w:hAnsi="楷体" w:eastAsia="楷体" w:cs="楷体"/>
          <w:color w:val="000000" w:themeColor="text1"/>
          <w:sz w:val="32"/>
          <w:szCs w:val="32"/>
          <w14:textFill>
            <w14:solidFill>
              <w14:schemeClr w14:val="tx1"/>
            </w14:solidFill>
          </w14:textFill>
        </w:rPr>
        <w:t>（四）体检复检</w:t>
      </w:r>
      <w:bookmarkEnd w:id="220"/>
      <w:bookmarkEnd w:id="221"/>
      <w:bookmarkEnd w:id="222"/>
      <w:bookmarkEnd w:id="223"/>
      <w:bookmarkEnd w:id="224"/>
      <w:bookmarkEnd w:id="225"/>
      <w:bookmarkEnd w:id="226"/>
    </w:p>
    <w:bookmarkEnd w:id="227"/>
    <w:p>
      <w:pPr>
        <w:ind w:firstLine="640" w:firstLineChars="200"/>
        <w:rPr>
          <w:rFonts w:hint="eastAsia" w:ascii="??_GB2312" w:eastAsia="Times New Roman"/>
          <w:color w:val="000000" w:themeColor="text1"/>
          <w:sz w:val="32"/>
          <w:szCs w:val="32"/>
          <w14:textFill>
            <w14:solidFill>
              <w14:schemeClr w14:val="tx1"/>
            </w14:solidFill>
          </w14:textFill>
        </w:rPr>
      </w:pPr>
      <w:r>
        <w:rPr>
          <w:rFonts w:hint="eastAsia" w:ascii="??_GB2312" w:eastAsia="Times New Roman"/>
          <w:color w:val="000000" w:themeColor="text1"/>
          <w:sz w:val="32"/>
          <w:szCs w:val="32"/>
          <w14:textFill>
            <w14:solidFill>
              <w14:schemeClr w14:val="tx1"/>
            </w14:solidFill>
          </w14:textFill>
        </w:rPr>
        <w:t>复检参照人力资源社会保障部、卫生部、国家公务员局《关于进一步做好公务员考试录用体检工作的通知》(人社部发〔2012〕65号)的有关规定执行，其中：</w:t>
      </w:r>
    </w:p>
    <w:p>
      <w:pPr>
        <w:ind w:firstLine="640" w:firstLineChars="200"/>
        <w:rPr>
          <w:rFonts w:hint="eastAsia" w:ascii="??_GB2312" w:eastAsia="Times New Roman"/>
          <w:color w:val="000000" w:themeColor="text1"/>
          <w:sz w:val="32"/>
          <w:szCs w:val="32"/>
          <w14:textFill>
            <w14:solidFill>
              <w14:schemeClr w14:val="tx1"/>
            </w14:solidFill>
          </w14:textFill>
        </w:rPr>
      </w:pPr>
      <w:r>
        <w:rPr>
          <w:rFonts w:hint="eastAsia" w:ascii="??_GB2312" w:eastAsia="Times New Roman"/>
          <w:color w:val="000000" w:themeColor="text1"/>
          <w:sz w:val="32"/>
          <w:szCs w:val="32"/>
          <w14:textFill>
            <w14:solidFill>
              <w14:schemeClr w14:val="tx1"/>
            </w14:solidFill>
          </w14:textFill>
        </w:rPr>
        <w:t>1. 对心率、视力、听力、血压等项目达不到体检合格标准的，安排当日复检；对边缘性心脏杂音、病理性心电图、病理性杂音、频发早搏（心电图证实）等项目达不到体检合格标准的，安排当场复检。</w:t>
      </w:r>
    </w:p>
    <w:p>
      <w:pPr>
        <w:ind w:firstLine="640" w:firstLineChars="200"/>
        <w:rPr>
          <w:rFonts w:hint="eastAsia" w:ascii="??_GB2312" w:eastAsia="Times New Roman"/>
          <w:color w:val="000000" w:themeColor="text1"/>
          <w:sz w:val="32"/>
          <w:szCs w:val="32"/>
          <w14:textFill>
            <w14:solidFill>
              <w14:schemeClr w14:val="tx1"/>
            </w14:solidFill>
          </w14:textFill>
        </w:rPr>
      </w:pPr>
      <w:r>
        <w:rPr>
          <w:rFonts w:hint="eastAsia" w:ascii="??_GB2312" w:eastAsia="Times New Roman"/>
          <w:color w:val="000000" w:themeColor="text1"/>
          <w:sz w:val="32"/>
          <w:szCs w:val="32"/>
          <w14:textFill>
            <w14:solidFill>
              <w14:schemeClr w14:val="tx1"/>
            </w14:solidFill>
          </w14:textFill>
        </w:rPr>
        <w:t>2.体检人员对非当日或非当场复检的体检项目结果有疑义的，可在接到体检结论的7日内提出复检申请，由</w:t>
      </w:r>
      <w:r>
        <w:rPr>
          <w:rFonts w:hint="eastAsia" w:ascii="??_GB2312" w:eastAsia="Times New Roman"/>
          <w:color w:val="000000" w:themeColor="text1"/>
          <w:sz w:val="32"/>
          <w:szCs w:val="32"/>
          <w:lang w:eastAsia="zh-CN"/>
          <w14:textFill>
            <w14:solidFill>
              <w14:schemeClr w14:val="tx1"/>
            </w14:solidFill>
          </w14:textFill>
        </w:rPr>
        <w:t>招聘单位</w:t>
      </w:r>
      <w:r>
        <w:rPr>
          <w:rFonts w:hint="eastAsia" w:ascii="??_GB2312" w:eastAsia="Times New Roman"/>
          <w:color w:val="000000" w:themeColor="text1"/>
          <w:sz w:val="32"/>
          <w:szCs w:val="32"/>
          <w14:textFill>
            <w14:solidFill>
              <w14:schemeClr w14:val="tx1"/>
            </w14:solidFill>
          </w14:textFill>
        </w:rPr>
        <w:t>另行指定医院复检。复检时不得告知复检项目。复检只能进行1次，体检结论以复检的结果为准。自行体检的结果一律无效。</w:t>
      </w:r>
    </w:p>
    <w:p>
      <w:pPr>
        <w:ind w:firstLine="640" w:firstLineChars="200"/>
        <w:rPr>
          <w:rFonts w:hint="eastAsia" w:ascii="??_GB2312" w:eastAsia="Times New Roman"/>
          <w:color w:val="000000" w:themeColor="text1"/>
          <w:sz w:val="32"/>
          <w:szCs w:val="32"/>
          <w14:textFill>
            <w14:solidFill>
              <w14:schemeClr w14:val="tx1"/>
            </w14:solidFill>
          </w14:textFill>
        </w:rPr>
      </w:pPr>
      <w:r>
        <w:rPr>
          <w:rFonts w:hint="eastAsia" w:ascii="??_GB2312" w:eastAsia="Times New Roman"/>
          <w:color w:val="000000" w:themeColor="text1"/>
          <w:sz w:val="32"/>
          <w:szCs w:val="32"/>
          <w14:textFill>
            <w14:solidFill>
              <w14:schemeClr w14:val="tx1"/>
            </w14:solidFill>
          </w14:textFill>
        </w:rPr>
        <w:t>3.招聘单位对体检人员体检结论有疑义的，也可在接到体检结论通知之日起7日内决定是否安排体检人员复检。</w:t>
      </w:r>
    </w:p>
    <w:p>
      <w:pPr>
        <w:pStyle w:val="2"/>
        <w:rPr>
          <w:rFonts w:ascii="楷体" w:hAnsi="楷体" w:eastAsia="楷体" w:cs="楷体"/>
          <w:color w:val="000000" w:themeColor="text1"/>
          <w:sz w:val="32"/>
          <w:szCs w:val="32"/>
          <w14:textFill>
            <w14:solidFill>
              <w14:schemeClr w14:val="tx1"/>
            </w14:solidFill>
          </w14:textFill>
        </w:rPr>
      </w:pPr>
      <w:bookmarkStart w:id="228" w:name="_Toc739"/>
      <w:bookmarkStart w:id="229" w:name="_Toc11349"/>
      <w:bookmarkStart w:id="230" w:name="_Toc8084"/>
      <w:bookmarkStart w:id="231" w:name="_Toc647"/>
      <w:bookmarkStart w:id="232" w:name="_Toc4346"/>
      <w:bookmarkStart w:id="233" w:name="_Toc32448"/>
      <w:bookmarkStart w:id="234" w:name="_Toc28126"/>
      <w:r>
        <w:rPr>
          <w:rFonts w:hint="eastAsia" w:ascii="楷体" w:hAnsi="楷体" w:eastAsia="楷体" w:cs="楷体"/>
          <w:color w:val="000000" w:themeColor="text1"/>
          <w:sz w:val="32"/>
          <w:szCs w:val="32"/>
          <w14:textFill>
            <w14:solidFill>
              <w14:schemeClr w14:val="tx1"/>
            </w14:solidFill>
          </w14:textFill>
        </w:rPr>
        <w:t>（五）可延迟体检的情形</w:t>
      </w:r>
      <w:bookmarkEnd w:id="228"/>
      <w:bookmarkEnd w:id="229"/>
      <w:bookmarkEnd w:id="230"/>
      <w:bookmarkEnd w:id="231"/>
      <w:bookmarkEnd w:id="232"/>
      <w:bookmarkEnd w:id="233"/>
      <w:bookmarkEnd w:id="234"/>
    </w:p>
    <w:p>
      <w:pPr>
        <w:ind w:firstLine="640" w:firstLineChars="200"/>
        <w:rPr>
          <w:rFonts w:hint="eastAsia" w:ascii="??_GB2312" w:eastAsia="Times New Roman"/>
          <w:color w:val="000000" w:themeColor="text1"/>
          <w:sz w:val="32"/>
          <w:szCs w:val="32"/>
          <w14:textFill>
            <w14:solidFill>
              <w14:schemeClr w14:val="tx1"/>
            </w14:solidFill>
          </w14:textFill>
        </w:rPr>
      </w:pPr>
      <w:r>
        <w:rPr>
          <w:rFonts w:hint="eastAsia" w:ascii="??_GB2312" w:eastAsia="Times New Roman"/>
          <w:color w:val="000000" w:themeColor="text1"/>
          <w:sz w:val="32"/>
          <w:szCs w:val="32"/>
          <w14:textFill>
            <w14:solidFill>
              <w14:schemeClr w14:val="tx1"/>
            </w14:solidFill>
          </w14:textFill>
        </w:rPr>
        <w:t>女性报考者因怀孕、哺乳期需申请延期体检的，须提供相应的医学证明并与招聘单位约定延缓体检的合理期限。</w:t>
      </w:r>
    </w:p>
    <w:p>
      <w:pPr>
        <w:pStyle w:val="2"/>
        <w:rPr>
          <w:rFonts w:ascii="黑体" w:hAnsi="黑体" w:eastAsia="黑体" w:cs="黑体"/>
          <w:color w:val="000000" w:themeColor="text1"/>
          <w:sz w:val="32"/>
          <w:szCs w:val="32"/>
          <w14:textFill>
            <w14:solidFill>
              <w14:schemeClr w14:val="tx1"/>
            </w14:solidFill>
          </w14:textFill>
        </w:rPr>
      </w:pPr>
      <w:bookmarkStart w:id="235" w:name="_Toc32366"/>
      <w:bookmarkStart w:id="236" w:name="_Toc28818"/>
      <w:bookmarkStart w:id="237" w:name="_Toc5225"/>
      <w:bookmarkStart w:id="238" w:name="_Toc2243"/>
      <w:bookmarkStart w:id="239" w:name="_Toc1565"/>
      <w:bookmarkStart w:id="240" w:name="_Toc13622"/>
      <w:bookmarkStart w:id="241" w:name="_Toc8472"/>
      <w:r>
        <w:rPr>
          <w:rFonts w:hint="eastAsia" w:ascii="黑体" w:hAnsi="黑体" w:eastAsia="黑体" w:cs="黑体"/>
          <w:color w:val="000000" w:themeColor="text1"/>
          <w:sz w:val="32"/>
          <w:szCs w:val="32"/>
          <w14:textFill>
            <w14:solidFill>
              <w14:schemeClr w14:val="tx1"/>
            </w14:solidFill>
          </w14:textFill>
        </w:rPr>
        <w:t>十一、考察</w:t>
      </w:r>
      <w:bookmarkEnd w:id="235"/>
      <w:bookmarkEnd w:id="236"/>
      <w:bookmarkEnd w:id="237"/>
      <w:bookmarkEnd w:id="238"/>
      <w:bookmarkEnd w:id="239"/>
      <w:bookmarkEnd w:id="240"/>
      <w:bookmarkEnd w:id="241"/>
    </w:p>
    <w:p>
      <w:pPr>
        <w:ind w:firstLine="640" w:firstLineChars="200"/>
        <w:rPr>
          <w:rFonts w:hint="eastAsia" w:ascii="??_GB2312" w:eastAsia="Times New Roman"/>
          <w:color w:val="000000" w:themeColor="text1"/>
          <w:sz w:val="32"/>
          <w:szCs w:val="32"/>
          <w14:textFill>
            <w14:solidFill>
              <w14:schemeClr w14:val="tx1"/>
            </w14:solidFill>
          </w14:textFill>
        </w:rPr>
      </w:pPr>
      <w:r>
        <w:rPr>
          <w:rFonts w:hint="eastAsia" w:ascii="??_GB2312" w:eastAsia="Times New Roman"/>
          <w:color w:val="000000" w:themeColor="text1"/>
          <w:sz w:val="32"/>
          <w:szCs w:val="32"/>
          <w14:textFill>
            <w14:solidFill>
              <w14:schemeClr w14:val="tx1"/>
            </w14:solidFill>
          </w14:textFill>
        </w:rPr>
        <w:t>对体检合格的拟聘人员，由招聘单位组织考察其政治思想、道德品质、廉洁自律、能力素质、工作态度、学习和工作表现及是否需要回避等内容情况，并对拟聘人员的资格条件进行再次审核。</w:t>
      </w:r>
    </w:p>
    <w:p>
      <w:pPr>
        <w:ind w:firstLine="640" w:firstLineChars="200"/>
        <w:rPr>
          <w:rFonts w:hint="eastAsia" w:ascii="??_GB2312" w:eastAsia="Times New Roman"/>
          <w:color w:val="000000" w:themeColor="text1"/>
          <w:sz w:val="32"/>
          <w:szCs w:val="32"/>
          <w:lang w:val="en-US" w:eastAsia="zh-CN"/>
          <w14:textFill>
            <w14:solidFill>
              <w14:schemeClr w14:val="tx1"/>
            </w14:solidFill>
          </w14:textFill>
        </w:rPr>
      </w:pPr>
      <w:r>
        <w:rPr>
          <w:rFonts w:hint="eastAsia" w:ascii="??_GB2312" w:eastAsia="Times New Roman"/>
          <w:color w:val="000000" w:themeColor="text1"/>
          <w:sz w:val="32"/>
          <w:szCs w:val="32"/>
          <w14:textFill>
            <w14:solidFill>
              <w14:schemeClr w14:val="tx1"/>
            </w14:solidFill>
          </w14:textFill>
        </w:rPr>
        <w:t>考察工作前，通过中国执行信息公开网（http://zxgk.court.gov.cn/）核实考察对象有无失信被执行的情况。发现考察对象被列为失信被执行人的，将查看对应案号并联系执行法院，函询、核实被执行人履行义务的进展情况。被执行人已履行义务的，应在招聘单位约定的期限内提供执行法院的书面证明，方可进行考察；尚未履行义务的，取消其考察资格。拟聘人员在试用期内被列为失信被执行人的，取消其聘用资格。</w:t>
      </w:r>
      <w:bookmarkStart w:id="242" w:name="_Toc9126"/>
      <w:bookmarkStart w:id="243" w:name="_Toc6994"/>
      <w:bookmarkStart w:id="244" w:name="_Toc2077"/>
    </w:p>
    <w:p>
      <w:pPr>
        <w:pStyle w:val="2"/>
        <w:rPr>
          <w:rFonts w:ascii="黑体" w:hAnsi="黑体" w:eastAsia="黑体" w:cs="黑体"/>
          <w:color w:val="000000" w:themeColor="text1"/>
          <w:sz w:val="32"/>
          <w:szCs w:val="32"/>
          <w14:textFill>
            <w14:solidFill>
              <w14:schemeClr w14:val="tx1"/>
            </w14:solidFill>
          </w14:textFill>
        </w:rPr>
      </w:pPr>
      <w:bookmarkStart w:id="245" w:name="_Toc3371"/>
      <w:bookmarkStart w:id="246" w:name="_Toc26510"/>
      <w:bookmarkStart w:id="247" w:name="_Toc824"/>
      <w:bookmarkStart w:id="248" w:name="_Toc2745"/>
      <w:r>
        <w:rPr>
          <w:rFonts w:hint="eastAsia" w:ascii="黑体" w:hAnsi="黑体" w:eastAsia="黑体" w:cs="黑体"/>
          <w:color w:val="000000" w:themeColor="text1"/>
          <w:sz w:val="32"/>
          <w:szCs w:val="32"/>
          <w14:textFill>
            <w14:solidFill>
              <w14:schemeClr w14:val="tx1"/>
            </w14:solidFill>
          </w14:textFill>
        </w:rPr>
        <w:t>十</w:t>
      </w:r>
      <w:r>
        <w:rPr>
          <w:rFonts w:hint="eastAsia" w:ascii="黑体" w:hAnsi="黑体" w:eastAsia="黑体" w:cs="黑体"/>
          <w:color w:val="000000" w:themeColor="text1"/>
          <w:sz w:val="32"/>
          <w:szCs w:val="32"/>
          <w:lang w:eastAsia="zh-CN"/>
          <w14:textFill>
            <w14:solidFill>
              <w14:schemeClr w14:val="tx1"/>
            </w14:solidFill>
          </w14:textFill>
        </w:rPr>
        <w:t>二</w:t>
      </w:r>
      <w:r>
        <w:rPr>
          <w:rFonts w:hint="eastAsia" w:ascii="黑体" w:hAnsi="黑体" w:eastAsia="黑体" w:cs="黑体"/>
          <w:color w:val="000000" w:themeColor="text1"/>
          <w:sz w:val="32"/>
          <w:szCs w:val="32"/>
          <w14:textFill>
            <w14:solidFill>
              <w14:schemeClr w14:val="tx1"/>
            </w14:solidFill>
          </w14:textFill>
        </w:rPr>
        <w:t>、聘用</w:t>
      </w:r>
      <w:bookmarkEnd w:id="242"/>
      <w:bookmarkEnd w:id="243"/>
      <w:bookmarkEnd w:id="244"/>
      <w:bookmarkEnd w:id="245"/>
      <w:bookmarkEnd w:id="246"/>
      <w:bookmarkEnd w:id="247"/>
      <w:bookmarkEnd w:id="248"/>
      <w:bookmarkStart w:id="249" w:name="_Toc5990"/>
      <w:bookmarkStart w:id="250" w:name="_Toc25406"/>
      <w:bookmarkStart w:id="251" w:name="_Toc15037"/>
    </w:p>
    <w:p>
      <w:pPr>
        <w:pStyle w:val="2"/>
        <w:rPr>
          <w:rFonts w:ascii="楷体" w:hAnsi="楷体" w:eastAsia="楷体" w:cs="楷体"/>
          <w:color w:val="000000" w:themeColor="text1"/>
          <w:sz w:val="32"/>
          <w:szCs w:val="32"/>
          <w14:textFill>
            <w14:solidFill>
              <w14:schemeClr w14:val="tx1"/>
            </w14:solidFill>
          </w14:textFill>
        </w:rPr>
      </w:pPr>
      <w:bookmarkStart w:id="252" w:name="_Toc14984"/>
      <w:bookmarkStart w:id="253" w:name="_Toc8398"/>
      <w:bookmarkStart w:id="254" w:name="_Toc1476"/>
      <w:bookmarkStart w:id="255" w:name="_Toc1443"/>
      <w:r>
        <w:rPr>
          <w:rFonts w:hint="eastAsia" w:ascii="楷体" w:hAnsi="楷体" w:eastAsia="楷体" w:cs="楷体"/>
          <w:color w:val="000000" w:themeColor="text1"/>
          <w:sz w:val="32"/>
          <w:szCs w:val="32"/>
          <w14:textFill>
            <w14:solidFill>
              <w14:schemeClr w14:val="tx1"/>
            </w14:solidFill>
          </w14:textFill>
        </w:rPr>
        <w:t>（一）手续办理</w:t>
      </w:r>
      <w:bookmarkEnd w:id="249"/>
      <w:bookmarkEnd w:id="250"/>
      <w:bookmarkEnd w:id="251"/>
      <w:bookmarkEnd w:id="252"/>
      <w:bookmarkEnd w:id="253"/>
      <w:bookmarkEnd w:id="254"/>
      <w:bookmarkEnd w:id="255"/>
    </w:p>
    <w:p>
      <w:pPr>
        <w:ind w:firstLine="640" w:firstLineChars="200"/>
        <w:rPr>
          <w:rFonts w:hint="eastAsia" w:ascii="??_GB2312" w:eastAsia="Times New Roman"/>
          <w:color w:val="000000" w:themeColor="text1"/>
          <w:sz w:val="32"/>
          <w:szCs w:val="32"/>
          <w14:textFill>
            <w14:solidFill>
              <w14:schemeClr w14:val="tx1"/>
            </w14:solidFill>
          </w14:textFill>
        </w:rPr>
      </w:pPr>
      <w:r>
        <w:rPr>
          <w:rFonts w:hint="eastAsia" w:ascii="??_GB2312" w:eastAsia="Times New Roman"/>
          <w:color w:val="000000" w:themeColor="text1"/>
          <w:sz w:val="32"/>
          <w:szCs w:val="32"/>
          <w14:textFill>
            <w14:solidFill>
              <w14:schemeClr w14:val="tx1"/>
            </w14:solidFill>
          </w14:textFill>
        </w:rPr>
        <w:t>公示结果无异议，或经招聘单位</w:t>
      </w:r>
      <w:r>
        <w:rPr>
          <w:rFonts w:hint="eastAsia" w:ascii="??_GB2312" w:eastAsia="Times New Roman"/>
          <w:color w:val="000000" w:themeColor="text1"/>
          <w:sz w:val="32"/>
          <w:szCs w:val="32"/>
          <w:lang w:eastAsia="zh-CN"/>
          <w14:textFill>
            <w14:solidFill>
              <w14:schemeClr w14:val="tx1"/>
            </w14:solidFill>
          </w14:textFill>
        </w:rPr>
        <w:t>报厦门医学院</w:t>
      </w:r>
      <w:r>
        <w:rPr>
          <w:rFonts w:hint="eastAsia" w:ascii="??_GB2312" w:eastAsia="Times New Roman"/>
          <w:color w:val="000000" w:themeColor="text1"/>
          <w:sz w:val="32"/>
          <w:szCs w:val="32"/>
          <w14:textFill>
            <w14:solidFill>
              <w14:schemeClr w14:val="tx1"/>
            </w14:solidFill>
          </w14:textFill>
        </w:rPr>
        <w:t>核实不影响聘用的，拟聘人员应于公示期满后5个月内提供办理聘用手续所需的全部资料（含个人人事档案）。因情况确实特殊、无法在上述期限内提供完备资料的，拟聘人员需提交书面申请并与招聘单位协商一致后核准，可适当延长资料提交时限（延长时限原则上不超过2个月），否则视为自动放弃聘用资格。</w:t>
      </w:r>
    </w:p>
    <w:p>
      <w:pPr>
        <w:pStyle w:val="2"/>
        <w:rPr>
          <w:rFonts w:ascii="楷体" w:hAnsi="楷体" w:eastAsia="楷体" w:cs="楷体"/>
          <w:color w:val="000000" w:themeColor="text1"/>
          <w:sz w:val="32"/>
          <w:szCs w:val="32"/>
          <w14:textFill>
            <w14:solidFill>
              <w14:schemeClr w14:val="tx1"/>
            </w14:solidFill>
          </w14:textFill>
        </w:rPr>
      </w:pPr>
      <w:bookmarkStart w:id="256" w:name="_Toc17386"/>
      <w:bookmarkStart w:id="257" w:name="_Toc27370"/>
      <w:bookmarkStart w:id="258" w:name="_Toc27136"/>
      <w:bookmarkStart w:id="259" w:name="_Toc15886"/>
      <w:bookmarkStart w:id="260" w:name="_Toc1514"/>
      <w:bookmarkStart w:id="261" w:name="_Toc974"/>
      <w:bookmarkStart w:id="262" w:name="_Toc11701"/>
      <w:r>
        <w:rPr>
          <w:rFonts w:hint="eastAsia" w:ascii="楷体" w:hAnsi="楷体" w:eastAsia="楷体" w:cs="楷体"/>
          <w:color w:val="000000" w:themeColor="text1"/>
          <w:sz w:val="32"/>
          <w:szCs w:val="32"/>
          <w14:textFill>
            <w14:solidFill>
              <w14:schemeClr w14:val="tx1"/>
            </w14:solidFill>
          </w14:textFill>
        </w:rPr>
        <w:t>（二）岗位聘任</w:t>
      </w:r>
      <w:bookmarkEnd w:id="256"/>
      <w:bookmarkEnd w:id="257"/>
      <w:bookmarkEnd w:id="258"/>
      <w:bookmarkEnd w:id="259"/>
      <w:bookmarkEnd w:id="260"/>
      <w:bookmarkEnd w:id="261"/>
      <w:bookmarkEnd w:id="262"/>
    </w:p>
    <w:p>
      <w:pPr>
        <w:ind w:firstLine="640" w:firstLineChars="200"/>
        <w:rPr>
          <w:rFonts w:hint="eastAsia" w:ascii="??_GB2312" w:eastAsia="Times New Roman"/>
          <w:color w:val="000000" w:themeColor="text1"/>
          <w:sz w:val="32"/>
          <w:szCs w:val="32"/>
          <w14:textFill>
            <w14:solidFill>
              <w14:schemeClr w14:val="tx1"/>
            </w14:solidFill>
          </w14:textFill>
        </w:rPr>
      </w:pPr>
      <w:bookmarkStart w:id="263" w:name="_Toc7768"/>
      <w:bookmarkStart w:id="264" w:name="_Toc18947"/>
      <w:bookmarkStart w:id="265" w:name="_Toc15865"/>
      <w:bookmarkStart w:id="266" w:name="_Toc5335"/>
      <w:bookmarkStart w:id="267" w:name="_Toc30319"/>
      <w:bookmarkStart w:id="268" w:name="_Toc11026"/>
      <w:bookmarkStart w:id="269" w:name="_Toc5705"/>
      <w:r>
        <w:rPr>
          <w:rFonts w:hint="eastAsia" w:ascii="??_GB2312" w:eastAsia="Times New Roman"/>
          <w:color w:val="000000" w:themeColor="text1"/>
          <w:sz w:val="32"/>
          <w:szCs w:val="32"/>
          <w14:textFill>
            <w14:solidFill>
              <w14:schemeClr w14:val="tx1"/>
            </w14:solidFill>
          </w14:textFill>
        </w:rPr>
        <w:t>拟聘人员办理就业手续后，招聘单位应依据《事业单位人事管理条例》、《厦门市事业单位聘用制暂行规定》与拟聘人员签订《聘用合同》。聘用人员的人员身份及工龄、工资、养老保险等待遇由招聘单位查阅其人事档案后，按照厦门市有关规定认定。</w:t>
      </w:r>
    </w:p>
    <w:p>
      <w:pPr>
        <w:ind w:firstLine="640" w:firstLineChars="200"/>
        <w:rPr>
          <w:rFonts w:hint="eastAsia" w:ascii="??_GB2312" w:eastAsia="Times New Roman"/>
          <w:color w:val="000000" w:themeColor="text1"/>
          <w:sz w:val="32"/>
          <w:szCs w:val="32"/>
          <w14:textFill>
            <w14:solidFill>
              <w14:schemeClr w14:val="tx1"/>
            </w14:solidFill>
          </w14:textFill>
        </w:rPr>
      </w:pPr>
      <w:r>
        <w:rPr>
          <w:rFonts w:hint="eastAsia" w:ascii="??_GB2312" w:eastAsia="Times New Roman"/>
          <w:color w:val="000000" w:themeColor="text1"/>
          <w:sz w:val="32"/>
          <w:szCs w:val="32"/>
          <w14:textFill>
            <w14:solidFill>
              <w14:schemeClr w14:val="tx1"/>
            </w14:solidFill>
          </w14:textFill>
        </w:rPr>
        <w:t>招聘单位应遵照事业单位岗位设置管理规定，按本单位发布的招聘岗位类别和级别对拟聘人员进行聘任。如招聘单位的拟聘岗位数量不足或拟聘人员不具备相应岗位聘任资格条件的，可实行高职低聘。</w:t>
      </w:r>
    </w:p>
    <w:p>
      <w:pPr>
        <w:pStyle w:val="2"/>
        <w:rPr>
          <w:rFonts w:ascii="黑体" w:hAnsi="黑体" w:eastAsia="黑体" w:cs="黑体"/>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十</w:t>
      </w:r>
      <w:r>
        <w:rPr>
          <w:rFonts w:hint="eastAsia" w:ascii="黑体" w:hAnsi="黑体" w:eastAsia="黑体" w:cs="黑体"/>
          <w:color w:val="000000" w:themeColor="text1"/>
          <w:sz w:val="32"/>
          <w:szCs w:val="32"/>
          <w:lang w:eastAsia="zh-CN"/>
          <w14:textFill>
            <w14:solidFill>
              <w14:schemeClr w14:val="tx1"/>
            </w14:solidFill>
          </w14:textFill>
        </w:rPr>
        <w:t>三</w:t>
      </w:r>
      <w:r>
        <w:rPr>
          <w:rFonts w:hint="eastAsia" w:ascii="黑体" w:hAnsi="黑体" w:eastAsia="黑体" w:cs="黑体"/>
          <w:color w:val="000000" w:themeColor="text1"/>
          <w:sz w:val="32"/>
          <w:szCs w:val="32"/>
          <w14:textFill>
            <w14:solidFill>
              <w14:schemeClr w14:val="tx1"/>
            </w14:solidFill>
          </w14:textFill>
        </w:rPr>
        <w:t>、其他事项</w:t>
      </w:r>
      <w:bookmarkEnd w:id="263"/>
      <w:bookmarkEnd w:id="264"/>
      <w:bookmarkEnd w:id="265"/>
      <w:bookmarkEnd w:id="266"/>
      <w:bookmarkEnd w:id="267"/>
      <w:bookmarkEnd w:id="268"/>
      <w:bookmarkEnd w:id="269"/>
      <w:bookmarkStart w:id="270" w:name="_Toc28131"/>
      <w:bookmarkStart w:id="271" w:name="_Toc29849"/>
      <w:bookmarkStart w:id="272" w:name="_Toc20963"/>
    </w:p>
    <w:p>
      <w:pPr>
        <w:pStyle w:val="2"/>
        <w:rPr>
          <w:rFonts w:ascii="楷体" w:hAnsi="楷体" w:eastAsia="楷体" w:cs="楷体"/>
          <w:color w:val="000000" w:themeColor="text1"/>
          <w:sz w:val="32"/>
          <w:szCs w:val="32"/>
          <w14:textFill>
            <w14:solidFill>
              <w14:schemeClr w14:val="tx1"/>
            </w14:solidFill>
          </w14:textFill>
        </w:rPr>
      </w:pPr>
      <w:bookmarkStart w:id="273" w:name="_Toc12131"/>
      <w:bookmarkStart w:id="274" w:name="_Toc7430"/>
      <w:bookmarkStart w:id="275" w:name="_Toc5470"/>
      <w:bookmarkStart w:id="276" w:name="_Toc10955"/>
      <w:r>
        <w:rPr>
          <w:rFonts w:hint="eastAsia" w:ascii="楷体" w:hAnsi="楷体" w:eastAsia="楷体" w:cs="楷体"/>
          <w:color w:val="000000" w:themeColor="text1"/>
          <w:sz w:val="32"/>
          <w:szCs w:val="32"/>
          <w14:textFill>
            <w14:solidFill>
              <w14:schemeClr w14:val="tx1"/>
            </w14:solidFill>
          </w14:textFill>
        </w:rPr>
        <w:t>（一）中共党员</w:t>
      </w:r>
      <w:bookmarkEnd w:id="270"/>
      <w:bookmarkEnd w:id="271"/>
      <w:bookmarkEnd w:id="272"/>
      <w:bookmarkEnd w:id="273"/>
      <w:bookmarkEnd w:id="274"/>
      <w:bookmarkEnd w:id="275"/>
      <w:bookmarkEnd w:id="276"/>
    </w:p>
    <w:p>
      <w:pPr>
        <w:ind w:firstLine="640" w:firstLineChars="200"/>
        <w:rPr>
          <w:rFonts w:hint="eastAsia" w:ascii="??_GB2312" w:eastAsia="Times New Roman"/>
          <w:color w:val="000000" w:themeColor="text1"/>
          <w:sz w:val="32"/>
          <w:szCs w:val="32"/>
          <w14:textFill>
            <w14:solidFill>
              <w14:schemeClr w14:val="tx1"/>
            </w14:solidFill>
          </w14:textFill>
        </w:rPr>
      </w:pPr>
      <w:r>
        <w:rPr>
          <w:rFonts w:hint="eastAsia" w:ascii="??_GB2312" w:eastAsia="Times New Roman"/>
          <w:color w:val="000000" w:themeColor="text1"/>
          <w:sz w:val="32"/>
          <w:szCs w:val="32"/>
          <w14:textFill>
            <w14:solidFill>
              <w14:schemeClr w14:val="tx1"/>
            </w14:solidFill>
          </w14:textFill>
        </w:rPr>
        <w:t>岗位资格条件要求为“中共党员”的，中共预备党员也可报考。</w:t>
      </w:r>
    </w:p>
    <w:p>
      <w:pPr>
        <w:pStyle w:val="2"/>
        <w:rPr>
          <w:rFonts w:ascii="楷体" w:hAnsi="楷体" w:eastAsia="楷体" w:cs="楷体"/>
          <w:color w:val="000000" w:themeColor="text1"/>
          <w:sz w:val="32"/>
          <w:szCs w:val="32"/>
          <w14:textFill>
            <w14:solidFill>
              <w14:schemeClr w14:val="tx1"/>
            </w14:solidFill>
          </w14:textFill>
        </w:rPr>
      </w:pPr>
      <w:bookmarkStart w:id="277" w:name="_Toc5176"/>
      <w:bookmarkStart w:id="278" w:name="_Toc29092"/>
      <w:bookmarkStart w:id="279" w:name="_Toc1658"/>
      <w:bookmarkStart w:id="280" w:name="_Toc26996"/>
      <w:bookmarkStart w:id="281" w:name="_Toc31167"/>
      <w:bookmarkStart w:id="282" w:name="_Toc15299"/>
      <w:bookmarkStart w:id="283" w:name="_Toc1238"/>
      <w:r>
        <w:rPr>
          <w:rFonts w:hint="eastAsia" w:ascii="楷体" w:hAnsi="楷体" w:eastAsia="楷体" w:cs="楷体"/>
          <w:color w:val="000000" w:themeColor="text1"/>
          <w:sz w:val="32"/>
          <w:szCs w:val="32"/>
          <w14:textFill>
            <w14:solidFill>
              <w14:schemeClr w14:val="tx1"/>
            </w14:solidFill>
          </w14:textFill>
        </w:rPr>
        <w:t>（二）职称</w:t>
      </w:r>
      <w:bookmarkEnd w:id="277"/>
      <w:bookmarkEnd w:id="278"/>
      <w:bookmarkEnd w:id="279"/>
      <w:bookmarkEnd w:id="280"/>
      <w:bookmarkEnd w:id="281"/>
      <w:bookmarkEnd w:id="282"/>
      <w:bookmarkEnd w:id="283"/>
    </w:p>
    <w:p>
      <w:pPr>
        <w:ind w:firstLine="640" w:firstLineChars="200"/>
        <w:rPr>
          <w:rFonts w:hint="eastAsia" w:ascii="??_GB2312" w:eastAsia="Times New Roman"/>
          <w:color w:val="000000" w:themeColor="text1"/>
          <w:sz w:val="32"/>
          <w:szCs w:val="32"/>
          <w14:textFill>
            <w14:solidFill>
              <w14:schemeClr w14:val="tx1"/>
            </w14:solidFill>
          </w14:textFill>
        </w:rPr>
      </w:pPr>
      <w:r>
        <w:rPr>
          <w:rFonts w:hint="eastAsia" w:ascii="??_GB2312" w:eastAsia="Times New Roman"/>
          <w:color w:val="000000" w:themeColor="text1"/>
          <w:sz w:val="32"/>
          <w:szCs w:val="32"/>
          <w14:textFill>
            <w14:solidFill>
              <w14:schemeClr w14:val="tx1"/>
            </w14:solidFill>
          </w14:textFill>
        </w:rPr>
        <w:t>岗位资格条件要求的职称是指经社会化评审或考试等方式取得的职称，不含通过非公有制企业职称评审取得的职称。按照国家和省部规定自主评聘的卫生技术系列高级职称人员，须经福建省职改部门确认或颁发的卫生高级专业技术职务任职资格，方能作为岗位正常聘任和岗位级别晋升的依据。</w:t>
      </w:r>
    </w:p>
    <w:p>
      <w:pPr>
        <w:ind w:firstLine="640" w:firstLineChars="200"/>
        <w:rPr>
          <w:rFonts w:hint="eastAsia" w:ascii="??_GB2312" w:eastAsia="Times New Roman"/>
          <w:color w:val="000000" w:themeColor="text1"/>
          <w:sz w:val="32"/>
          <w:szCs w:val="32"/>
          <w14:textFill>
            <w14:solidFill>
              <w14:schemeClr w14:val="tx1"/>
            </w14:solidFill>
          </w14:textFill>
        </w:rPr>
      </w:pPr>
      <w:r>
        <w:rPr>
          <w:rFonts w:hint="eastAsia" w:ascii="??_GB2312" w:eastAsia="Times New Roman"/>
          <w:color w:val="000000" w:themeColor="text1"/>
          <w:sz w:val="32"/>
          <w:szCs w:val="32"/>
          <w14:textFill>
            <w14:solidFill>
              <w14:schemeClr w14:val="tx1"/>
            </w14:solidFill>
          </w14:textFill>
        </w:rPr>
        <w:t>以非普通教育学历报考的考生，“医”类岗位须取得与岗位相符的执业助理医师及以上医师资格，“药、护、技”三类岗位须取得与岗位相符的卫生专业技术初级及以上职务任职资格。</w:t>
      </w:r>
    </w:p>
    <w:p>
      <w:pPr>
        <w:ind w:firstLine="640" w:firstLineChars="200"/>
        <w:rPr>
          <w:rFonts w:hint="eastAsia" w:ascii="??_GB2312" w:eastAsia="Times New Roman"/>
          <w:color w:val="000000" w:themeColor="text1"/>
          <w:sz w:val="32"/>
          <w:szCs w:val="32"/>
          <w14:textFill>
            <w14:solidFill>
              <w14:schemeClr w14:val="tx1"/>
            </w14:solidFill>
          </w14:textFill>
        </w:rPr>
      </w:pPr>
      <w:r>
        <w:rPr>
          <w:rFonts w:hint="eastAsia" w:ascii="??_GB2312" w:eastAsia="Times New Roman"/>
          <w:color w:val="000000" w:themeColor="text1"/>
          <w:sz w:val="32"/>
          <w:szCs w:val="32"/>
          <w14:textFill>
            <w14:solidFill>
              <w14:schemeClr w14:val="tx1"/>
            </w14:solidFill>
          </w14:textFill>
        </w:rPr>
        <w:t>报考者已于报名截止日前通过岗位条件要求（含上述以非普通教育学历报考的考生须取得的资格要求）的相应资格证书考试（或评审等）但未取得证书的，须在资格复核时，提供有效的成绩单及是否通过考试的结论。2021年毕业的医学专业“四证合一”应届研究生，在符合报考岗位其他资格条件的前提下，其医师资格证书可于2021年12月31日前随符合岗位报考条件的相应学历（位）证书一并提供。</w:t>
      </w:r>
      <w:bookmarkStart w:id="284" w:name="_Toc21039"/>
      <w:bookmarkStart w:id="285" w:name="_Toc19212"/>
      <w:bookmarkStart w:id="286" w:name="_Toc21952"/>
    </w:p>
    <w:p>
      <w:pPr>
        <w:pStyle w:val="2"/>
        <w:rPr>
          <w:rFonts w:ascii="楷体" w:hAnsi="楷体" w:eastAsia="楷体" w:cs="楷体"/>
          <w:color w:val="000000" w:themeColor="text1"/>
          <w:sz w:val="32"/>
          <w:szCs w:val="32"/>
          <w14:textFill>
            <w14:solidFill>
              <w14:schemeClr w14:val="tx1"/>
            </w14:solidFill>
          </w14:textFill>
        </w:rPr>
      </w:pPr>
      <w:bookmarkStart w:id="287" w:name="_Toc16150"/>
      <w:bookmarkStart w:id="288" w:name="_Toc4426"/>
      <w:bookmarkStart w:id="289" w:name="_Toc16551"/>
      <w:bookmarkStart w:id="290" w:name="_Toc23989"/>
      <w:r>
        <w:rPr>
          <w:rFonts w:hint="eastAsia" w:ascii="楷体" w:hAnsi="楷体" w:eastAsia="楷体" w:cs="楷体"/>
          <w:color w:val="000000" w:themeColor="text1"/>
          <w:sz w:val="32"/>
          <w:szCs w:val="32"/>
          <w14:textFill>
            <w14:solidFill>
              <w14:schemeClr w14:val="tx1"/>
            </w14:solidFill>
          </w14:textFill>
        </w:rPr>
        <w:t>（三）规范化培训</w:t>
      </w:r>
      <w:bookmarkEnd w:id="284"/>
      <w:bookmarkEnd w:id="285"/>
      <w:bookmarkEnd w:id="286"/>
      <w:bookmarkEnd w:id="287"/>
      <w:bookmarkEnd w:id="288"/>
      <w:bookmarkEnd w:id="289"/>
      <w:bookmarkEnd w:id="290"/>
    </w:p>
    <w:p>
      <w:pPr>
        <w:ind w:firstLine="640" w:firstLineChars="200"/>
        <w:rPr>
          <w:rFonts w:hint="eastAsia" w:ascii="??_GB2312" w:eastAsia="Times New Roman"/>
          <w:color w:val="000000" w:themeColor="text1"/>
          <w:sz w:val="32"/>
          <w:szCs w:val="32"/>
          <w14:textFill>
            <w14:solidFill>
              <w14:schemeClr w14:val="tx1"/>
            </w14:solidFill>
          </w14:textFill>
        </w:rPr>
      </w:pPr>
      <w:bookmarkStart w:id="291" w:name="_Toc18949"/>
      <w:bookmarkStart w:id="292" w:name="_Toc14906"/>
      <w:bookmarkStart w:id="293" w:name="_Toc20667"/>
      <w:bookmarkStart w:id="294" w:name="_Toc4062"/>
      <w:bookmarkStart w:id="295" w:name="_Toc9207"/>
      <w:bookmarkStart w:id="296" w:name="_Toc4591"/>
      <w:bookmarkStart w:id="297" w:name="_Toc21766"/>
      <w:r>
        <w:rPr>
          <w:rFonts w:hint="eastAsia" w:ascii="??_GB2312" w:eastAsia="Times New Roman"/>
          <w:color w:val="000000" w:themeColor="text1"/>
          <w:sz w:val="32"/>
          <w:szCs w:val="32"/>
          <w14:textFill>
            <w14:solidFill>
              <w14:schemeClr w14:val="tx1"/>
            </w14:solidFill>
          </w14:textFill>
        </w:rPr>
        <w:t>岗位资格条件要求完成住院医师规范化培训的，是指按照《住院医师规范化培训内容和标准（试行）》完成住院医师规范化培训内容并取得合格证书。</w:t>
      </w:r>
    </w:p>
    <w:p>
      <w:pPr>
        <w:ind w:firstLine="640" w:firstLineChars="200"/>
        <w:rPr>
          <w:rFonts w:hint="eastAsia" w:ascii="??_GB2312" w:eastAsia="Times New Roman"/>
          <w:color w:val="000000" w:themeColor="text1"/>
          <w:sz w:val="32"/>
          <w:szCs w:val="32"/>
          <w14:textFill>
            <w14:solidFill>
              <w14:schemeClr w14:val="tx1"/>
            </w14:solidFill>
          </w14:textFill>
        </w:rPr>
      </w:pPr>
      <w:r>
        <w:rPr>
          <w:rFonts w:hint="eastAsia" w:ascii="??_GB2312" w:eastAsia="Times New Roman"/>
          <w:color w:val="000000" w:themeColor="text1"/>
          <w:sz w:val="32"/>
          <w:szCs w:val="32"/>
          <w14:textFill>
            <w14:solidFill>
              <w14:schemeClr w14:val="tx1"/>
            </w14:solidFill>
          </w14:textFill>
        </w:rPr>
        <w:t>岗位资格条件要求完成全科医师规范化培训的，是指按照《卫生部专科医师培训暂行规定》、《卫生部专科医师培训标准（试行）》完成全科医师规范化培训内容并取得合格证书，或取得经过省级卫生行政部门认可的全科医学培训合格证书、社区卫生服务人员岗位培训合格证书或全科医生转岗培训合格证书等可用于注册执业范围为全科医学专业的《医师执业证书》的全科医师培训合格证明。</w:t>
      </w:r>
    </w:p>
    <w:p>
      <w:pPr>
        <w:ind w:firstLine="640" w:firstLineChars="200"/>
        <w:rPr>
          <w:rFonts w:hint="eastAsia" w:ascii="??_GB2312" w:eastAsia="Times New Roman"/>
          <w:color w:val="000000" w:themeColor="text1"/>
          <w:sz w:val="32"/>
          <w:szCs w:val="32"/>
          <w14:textFill>
            <w14:solidFill>
              <w14:schemeClr w14:val="tx1"/>
            </w14:solidFill>
          </w14:textFill>
        </w:rPr>
      </w:pPr>
      <w:r>
        <w:rPr>
          <w:rFonts w:hint="eastAsia" w:ascii="??_GB2312" w:eastAsia="Times New Roman"/>
          <w:color w:val="000000" w:themeColor="text1"/>
          <w:sz w:val="32"/>
          <w:szCs w:val="32"/>
          <w14:textFill>
            <w14:solidFill>
              <w14:schemeClr w14:val="tx1"/>
            </w14:solidFill>
          </w14:textFill>
        </w:rPr>
        <w:t>报考者须于资格复核时提供岗位资格条件要求的规范化培训合格证书或证书主管部门出具的成绩单及是否通过考试的结论书面证明。2021年毕业的医学专业“四证合一”应届研究生，在符合报考岗位其他资格条件的前提下，其住院医师规范化培训合格证书可于2021年12月31日前随符合岗位报考条件的相应学历（位）证书一并提供。</w:t>
      </w:r>
    </w:p>
    <w:p>
      <w:pPr>
        <w:pStyle w:val="2"/>
        <w:rPr>
          <w:rFonts w:ascii="楷体" w:hAnsi="楷体" w:eastAsia="楷体" w:cs="楷体"/>
          <w:color w:val="000000" w:themeColor="text1"/>
          <w:sz w:val="32"/>
          <w:szCs w:val="32"/>
          <w14:textFill>
            <w14:solidFill>
              <w14:schemeClr w14:val="tx1"/>
            </w14:solidFill>
          </w14:textFill>
        </w:rPr>
      </w:pPr>
      <w:bookmarkStart w:id="298" w:name="_（四）应届高校毕业生"/>
      <w:r>
        <w:rPr>
          <w:rFonts w:hint="eastAsia" w:ascii="楷体" w:hAnsi="楷体" w:eastAsia="楷体" w:cs="楷体"/>
          <w:color w:val="000000" w:themeColor="text1"/>
          <w:sz w:val="32"/>
          <w:szCs w:val="32"/>
          <w14:textFill>
            <w14:solidFill>
              <w14:schemeClr w14:val="tx1"/>
            </w14:solidFill>
          </w14:textFill>
        </w:rPr>
        <w:t>（四）应届高校毕业生</w:t>
      </w:r>
      <w:bookmarkEnd w:id="291"/>
      <w:bookmarkEnd w:id="292"/>
      <w:bookmarkEnd w:id="293"/>
      <w:bookmarkEnd w:id="294"/>
      <w:bookmarkEnd w:id="295"/>
      <w:bookmarkEnd w:id="296"/>
      <w:bookmarkEnd w:id="297"/>
    </w:p>
    <w:bookmarkEnd w:id="298"/>
    <w:p>
      <w:pPr>
        <w:ind w:firstLine="640" w:firstLineChars="200"/>
        <w:rPr>
          <w:rFonts w:hint="eastAsia" w:ascii="??_GB2312" w:eastAsia="Times New Roman"/>
          <w:color w:val="000000" w:themeColor="text1"/>
          <w:sz w:val="32"/>
          <w:szCs w:val="32"/>
          <w14:textFill>
            <w14:solidFill>
              <w14:schemeClr w14:val="tx1"/>
            </w14:solidFill>
          </w14:textFill>
        </w:rPr>
      </w:pPr>
      <w:bookmarkStart w:id="299" w:name="_Toc16363"/>
      <w:bookmarkStart w:id="300" w:name="_Toc21903"/>
      <w:bookmarkStart w:id="301" w:name="_Toc29449"/>
      <w:bookmarkStart w:id="302" w:name="_Toc20713"/>
      <w:bookmarkStart w:id="303" w:name="_Toc30902"/>
      <w:bookmarkStart w:id="304" w:name="_Toc26030"/>
      <w:r>
        <w:rPr>
          <w:rFonts w:hint="eastAsia" w:ascii="??_GB2312" w:eastAsia="Times New Roman"/>
          <w:color w:val="000000" w:themeColor="text1"/>
          <w:sz w:val="32"/>
          <w:szCs w:val="32"/>
          <w14:textFill>
            <w14:solidFill>
              <w14:schemeClr w14:val="tx1"/>
            </w14:solidFill>
          </w14:textFill>
        </w:rPr>
        <w:t>参照国家、福建省有关文件政策，本次招聘岗位资格条件中涉及面向应届高校毕业生的，包含以下对象：</w:t>
      </w:r>
    </w:p>
    <w:bookmarkEnd w:id="299"/>
    <w:bookmarkEnd w:id="300"/>
    <w:bookmarkEnd w:id="301"/>
    <w:bookmarkEnd w:id="302"/>
    <w:bookmarkEnd w:id="303"/>
    <w:bookmarkEnd w:id="304"/>
    <w:p>
      <w:pPr>
        <w:ind w:firstLine="640" w:firstLineChars="200"/>
        <w:rPr>
          <w:rFonts w:hint="eastAsia" w:ascii="??_GB2312" w:eastAsia="Times New Roman"/>
          <w:color w:val="000000" w:themeColor="text1"/>
          <w:sz w:val="32"/>
          <w:szCs w:val="32"/>
          <w14:textFill>
            <w14:solidFill>
              <w14:schemeClr w14:val="tx1"/>
            </w14:solidFill>
          </w14:textFill>
        </w:rPr>
      </w:pPr>
      <w:bookmarkStart w:id="305" w:name="_Toc17835_WPSOffice_Level2"/>
      <w:bookmarkStart w:id="306" w:name="_Toc3069"/>
      <w:bookmarkStart w:id="307" w:name="_Toc5428"/>
      <w:bookmarkStart w:id="308" w:name="_Toc14931"/>
      <w:bookmarkStart w:id="309" w:name="_Toc18970"/>
      <w:bookmarkStart w:id="310" w:name="_Toc7516"/>
      <w:bookmarkStart w:id="311" w:name="_Toc1147"/>
      <w:bookmarkStart w:id="312" w:name="_Toc14505"/>
      <w:bookmarkStart w:id="313" w:name="_Toc11834"/>
      <w:r>
        <w:rPr>
          <w:rFonts w:hint="eastAsia" w:ascii="??_GB2312" w:eastAsia="Times New Roman"/>
          <w:color w:val="000000" w:themeColor="text1"/>
          <w:sz w:val="32"/>
          <w:szCs w:val="32"/>
          <w14:textFill>
            <w14:solidFill>
              <w14:schemeClr w14:val="tx1"/>
            </w14:solidFill>
          </w14:textFill>
        </w:rPr>
        <w:t>1.2021届毕业生。通过参加全国统一的普通高等学校招生考试达到录取要求入学或国家承认的其他方式入学、经省级招办批准录取，入学时将档案关系转到就读学校，并于2021年1月1日至2021年12月31日取得普通高等学校（教育）学历、学位证书的毕业生。</w:t>
      </w:r>
    </w:p>
    <w:p>
      <w:pPr>
        <w:ind w:firstLine="640" w:firstLineChars="200"/>
        <w:rPr>
          <w:rFonts w:hint="eastAsia" w:ascii="??_GB2312" w:eastAsia="Times New Roman"/>
          <w:color w:val="000000" w:themeColor="text1"/>
          <w:sz w:val="32"/>
          <w:szCs w:val="32"/>
          <w14:textFill>
            <w14:solidFill>
              <w14:schemeClr w14:val="tx1"/>
            </w14:solidFill>
          </w14:textFill>
        </w:rPr>
      </w:pPr>
      <w:r>
        <w:rPr>
          <w:rFonts w:hint="eastAsia" w:ascii="??_GB2312" w:eastAsia="Times New Roman"/>
          <w:color w:val="000000" w:themeColor="text1"/>
          <w:sz w:val="32"/>
          <w:szCs w:val="32"/>
          <w14:textFill>
            <w14:solidFill>
              <w14:schemeClr w14:val="tx1"/>
            </w14:solidFill>
          </w14:textFill>
        </w:rPr>
        <w:t>2.截至报名截止日，尚未落实工作单位的2019届、2020届毕业生。2019届、2020届毕业生按照上述2021届毕业生进行类推界定。</w:t>
      </w:r>
    </w:p>
    <w:p>
      <w:pPr>
        <w:ind w:firstLine="640" w:firstLineChars="200"/>
        <w:rPr>
          <w:rFonts w:hint="eastAsia" w:ascii="??_GB2312" w:eastAsia="Times New Roman"/>
          <w:color w:val="000000" w:themeColor="text1"/>
          <w:sz w:val="32"/>
          <w:szCs w:val="32"/>
          <w14:textFill>
            <w14:solidFill>
              <w14:schemeClr w14:val="tx1"/>
            </w14:solidFill>
          </w14:textFill>
        </w:rPr>
      </w:pPr>
      <w:r>
        <w:rPr>
          <w:rFonts w:hint="eastAsia" w:ascii="??_GB2312" w:eastAsia="Times New Roman"/>
          <w:color w:val="000000" w:themeColor="text1"/>
          <w:sz w:val="32"/>
          <w:szCs w:val="32"/>
          <w14:textFill>
            <w14:solidFill>
              <w14:schemeClr w14:val="tx1"/>
            </w14:solidFill>
          </w14:textFill>
        </w:rPr>
        <w:t>3.参加基层服务项目前无工作经历、服务期满且考核合格后2年内的高校毕业生。“参加基层服务项目”的界定见本简章第九章“笔试加分”第（二）款第1点“服务基层项目高校毕业人员”。</w:t>
      </w:r>
    </w:p>
    <w:p>
      <w:pPr>
        <w:ind w:firstLine="640" w:firstLineChars="200"/>
        <w:rPr>
          <w:rFonts w:hint="eastAsia" w:ascii="??_GB2312" w:eastAsia="Times New Roman"/>
          <w:color w:val="000000" w:themeColor="text1"/>
          <w:sz w:val="32"/>
          <w:szCs w:val="32"/>
          <w14:textFill>
            <w14:solidFill>
              <w14:schemeClr w14:val="tx1"/>
            </w14:solidFill>
          </w14:textFill>
        </w:rPr>
      </w:pPr>
      <w:r>
        <w:rPr>
          <w:rFonts w:hint="eastAsia" w:ascii="??_GB2312" w:eastAsia="Times New Roman"/>
          <w:color w:val="000000" w:themeColor="text1"/>
          <w:sz w:val="32"/>
          <w:szCs w:val="32"/>
          <w14:textFill>
            <w14:solidFill>
              <w14:schemeClr w14:val="tx1"/>
            </w14:solidFill>
          </w14:textFill>
        </w:rPr>
        <w:t>持境外学历（位）报考的应届高校毕业生参照上述标准界定。</w:t>
      </w:r>
    </w:p>
    <w:p>
      <w:pPr>
        <w:pStyle w:val="2"/>
        <w:rPr>
          <w:rFonts w:ascii="楷体" w:hAnsi="楷体" w:eastAsia="楷体" w:cs="楷体"/>
          <w:color w:val="000000" w:themeColor="text1"/>
          <w:sz w:val="32"/>
          <w:szCs w:val="32"/>
          <w14:textFill>
            <w14:solidFill>
              <w14:schemeClr w14:val="tx1"/>
            </w14:solidFill>
          </w14:textFill>
        </w:rPr>
      </w:pPr>
      <w:bookmarkStart w:id="314" w:name="_（五）生源"/>
      <w:r>
        <w:rPr>
          <w:rFonts w:hint="eastAsia" w:ascii="楷体" w:hAnsi="楷体" w:eastAsia="楷体" w:cs="楷体"/>
          <w:color w:val="000000" w:themeColor="text1"/>
          <w:sz w:val="32"/>
          <w:szCs w:val="32"/>
          <w14:textFill>
            <w14:solidFill>
              <w14:schemeClr w14:val="tx1"/>
            </w14:solidFill>
          </w14:textFill>
        </w:rPr>
        <w:t>（五）</w:t>
      </w:r>
      <w:bookmarkEnd w:id="305"/>
      <w:r>
        <w:rPr>
          <w:rFonts w:hint="eastAsia" w:ascii="楷体" w:hAnsi="楷体" w:eastAsia="楷体" w:cs="楷体"/>
          <w:color w:val="000000" w:themeColor="text1"/>
          <w:sz w:val="32"/>
          <w:szCs w:val="32"/>
          <w14:textFill>
            <w14:solidFill>
              <w14:schemeClr w14:val="tx1"/>
            </w14:solidFill>
          </w14:textFill>
        </w:rPr>
        <w:t>生源</w:t>
      </w:r>
      <w:bookmarkEnd w:id="306"/>
      <w:bookmarkEnd w:id="307"/>
      <w:bookmarkEnd w:id="308"/>
      <w:bookmarkEnd w:id="309"/>
      <w:bookmarkEnd w:id="310"/>
      <w:bookmarkEnd w:id="311"/>
    </w:p>
    <w:bookmarkEnd w:id="314"/>
    <w:p>
      <w:pPr>
        <w:ind w:firstLine="640" w:firstLineChars="200"/>
        <w:rPr>
          <w:rFonts w:hint="eastAsia" w:ascii="??_GB2312" w:eastAsia="Times New Roman"/>
          <w:color w:val="000000" w:themeColor="text1"/>
          <w:sz w:val="32"/>
          <w:szCs w:val="32"/>
          <w14:textFill>
            <w14:solidFill>
              <w14:schemeClr w14:val="tx1"/>
            </w14:solidFill>
          </w14:textFill>
        </w:rPr>
      </w:pPr>
      <w:bookmarkStart w:id="315" w:name="_Toc26322"/>
      <w:bookmarkStart w:id="316" w:name="_Toc127"/>
      <w:bookmarkStart w:id="317" w:name="_Toc9297"/>
      <w:bookmarkStart w:id="318" w:name="_Toc17719"/>
      <w:bookmarkStart w:id="319" w:name="_Toc7571"/>
      <w:bookmarkStart w:id="320" w:name="_Toc25702"/>
      <w:bookmarkStart w:id="321" w:name="_Toc29806"/>
      <w:bookmarkStart w:id="322" w:name="_Toc6750"/>
      <w:bookmarkStart w:id="323" w:name="_Toc17019"/>
      <w:bookmarkStart w:id="324" w:name="_Toc2690"/>
      <w:bookmarkStart w:id="325" w:name="_Toc20567"/>
      <w:bookmarkStart w:id="326" w:name="_Toc26251"/>
      <w:bookmarkStart w:id="327" w:name="_Toc24201"/>
      <w:r>
        <w:rPr>
          <w:rFonts w:hint="eastAsia" w:ascii="??_GB2312" w:eastAsia="Times New Roman"/>
          <w:color w:val="000000" w:themeColor="text1"/>
          <w:sz w:val="32"/>
          <w:szCs w:val="32"/>
          <w14:textFill>
            <w14:solidFill>
              <w14:schemeClr w14:val="tx1"/>
            </w14:solidFill>
          </w14:textFill>
        </w:rPr>
        <w:t>厦门生源毕业生指入学前（指考入取得第一个全日制普通教育学历的院校前，下同）户籍和学籍在厦门市的全日制普通教育毕业生。符合以下条件之一的普通教育全日制毕业生可参照厦门生源：</w:t>
      </w:r>
      <w:bookmarkEnd w:id="315"/>
      <w:bookmarkEnd w:id="316"/>
      <w:bookmarkEnd w:id="317"/>
      <w:bookmarkEnd w:id="318"/>
      <w:bookmarkEnd w:id="319"/>
      <w:bookmarkEnd w:id="320"/>
      <w:bookmarkEnd w:id="321"/>
    </w:p>
    <w:p>
      <w:pPr>
        <w:ind w:firstLine="640" w:firstLineChars="200"/>
        <w:rPr>
          <w:rFonts w:hint="eastAsia" w:ascii="??_GB2312" w:eastAsia="Times New Roman"/>
          <w:color w:val="000000" w:themeColor="text1"/>
          <w:sz w:val="32"/>
          <w:szCs w:val="32"/>
          <w14:textFill>
            <w14:solidFill>
              <w14:schemeClr w14:val="tx1"/>
            </w14:solidFill>
          </w14:textFill>
        </w:rPr>
      </w:pPr>
      <w:bookmarkStart w:id="328" w:name="_Toc1886"/>
      <w:bookmarkStart w:id="329" w:name="_Toc4034"/>
      <w:bookmarkStart w:id="330" w:name="_Toc12000"/>
      <w:bookmarkStart w:id="331" w:name="_Toc11122"/>
      <w:bookmarkStart w:id="332" w:name="_Toc22909"/>
      <w:bookmarkStart w:id="333" w:name="_Toc12136"/>
      <w:bookmarkStart w:id="334" w:name="_Toc26848"/>
      <w:r>
        <w:rPr>
          <w:rFonts w:hint="eastAsia" w:ascii="??_GB2312" w:eastAsia="Times New Roman"/>
          <w:color w:val="000000" w:themeColor="text1"/>
          <w:sz w:val="32"/>
          <w:szCs w:val="32"/>
          <w14:textFill>
            <w14:solidFill>
              <w14:schemeClr w14:val="tx1"/>
            </w14:solidFill>
          </w14:textFill>
        </w:rPr>
        <w:t>1.入学前户籍在厦门市但学籍不在厦门市的普通教育全日制毕业生；</w:t>
      </w:r>
      <w:bookmarkEnd w:id="328"/>
      <w:bookmarkEnd w:id="329"/>
      <w:bookmarkEnd w:id="330"/>
      <w:bookmarkEnd w:id="331"/>
      <w:bookmarkEnd w:id="332"/>
      <w:bookmarkEnd w:id="333"/>
      <w:bookmarkEnd w:id="334"/>
    </w:p>
    <w:p>
      <w:pPr>
        <w:ind w:firstLine="640" w:firstLineChars="200"/>
        <w:rPr>
          <w:rFonts w:hint="eastAsia" w:ascii="??_GB2312" w:eastAsia="Times New Roman"/>
          <w:color w:val="000000" w:themeColor="text1"/>
          <w:sz w:val="32"/>
          <w:szCs w:val="32"/>
          <w14:textFill>
            <w14:solidFill>
              <w14:schemeClr w14:val="tx1"/>
            </w14:solidFill>
          </w14:textFill>
        </w:rPr>
      </w:pPr>
      <w:bookmarkStart w:id="335" w:name="_Toc13518"/>
      <w:bookmarkStart w:id="336" w:name="_Toc29287"/>
      <w:bookmarkStart w:id="337" w:name="_Toc16832"/>
      <w:bookmarkStart w:id="338" w:name="_Toc15903"/>
      <w:bookmarkStart w:id="339" w:name="_Toc26076"/>
      <w:bookmarkStart w:id="340" w:name="_Toc27435"/>
      <w:bookmarkStart w:id="341" w:name="_Toc13042"/>
      <w:r>
        <w:rPr>
          <w:rFonts w:hint="eastAsia" w:ascii="??_GB2312" w:eastAsia="Times New Roman"/>
          <w:color w:val="000000" w:themeColor="text1"/>
          <w:sz w:val="32"/>
          <w:szCs w:val="32"/>
          <w14:textFill>
            <w14:solidFill>
              <w14:schemeClr w14:val="tx1"/>
            </w14:solidFill>
          </w14:textFill>
        </w:rPr>
        <w:t>2.入学前户籍和学籍虽不在厦门市，但在本次公开招聘报名截止日前父母或配偶有一方户籍在厦门市的普通教育全日制2021届毕业生；</w:t>
      </w:r>
      <w:bookmarkEnd w:id="335"/>
      <w:bookmarkEnd w:id="336"/>
      <w:bookmarkEnd w:id="337"/>
      <w:bookmarkEnd w:id="338"/>
      <w:bookmarkEnd w:id="339"/>
      <w:bookmarkEnd w:id="340"/>
      <w:bookmarkEnd w:id="341"/>
    </w:p>
    <w:p>
      <w:pPr>
        <w:ind w:firstLine="640" w:firstLineChars="200"/>
        <w:rPr>
          <w:rFonts w:hint="eastAsia" w:ascii="??_GB2312" w:eastAsia="Times New Roman"/>
          <w:color w:val="000000" w:themeColor="text1"/>
          <w:sz w:val="32"/>
          <w:szCs w:val="32"/>
          <w14:textFill>
            <w14:solidFill>
              <w14:schemeClr w14:val="tx1"/>
            </w14:solidFill>
          </w14:textFill>
        </w:rPr>
      </w:pPr>
      <w:bookmarkStart w:id="342" w:name="_Toc27637"/>
      <w:bookmarkStart w:id="343" w:name="_Toc21929"/>
      <w:bookmarkStart w:id="344" w:name="_Toc10722"/>
      <w:bookmarkStart w:id="345" w:name="_Toc29894"/>
      <w:bookmarkStart w:id="346" w:name="_Toc8311"/>
      <w:bookmarkStart w:id="347" w:name="_Toc726"/>
      <w:bookmarkStart w:id="348" w:name="_Toc19098"/>
      <w:r>
        <w:rPr>
          <w:rFonts w:hint="eastAsia" w:ascii="??_GB2312" w:eastAsia="Times New Roman"/>
          <w:color w:val="000000" w:themeColor="text1"/>
          <w:sz w:val="32"/>
          <w:szCs w:val="32"/>
          <w14:textFill>
            <w14:solidFill>
              <w14:schemeClr w14:val="tx1"/>
            </w14:solidFill>
          </w14:textFill>
        </w:rPr>
        <w:t>3.根据厦府办〔2011〕229号文规定来我市就读普通高中且将户籍迁入我市的外来学生，普通高中毕业后从我市考入普通高等院校的全日制普通教育毕业生。</w:t>
      </w:r>
      <w:bookmarkEnd w:id="342"/>
      <w:bookmarkEnd w:id="343"/>
      <w:bookmarkEnd w:id="344"/>
      <w:bookmarkEnd w:id="345"/>
      <w:bookmarkEnd w:id="346"/>
      <w:bookmarkEnd w:id="347"/>
      <w:bookmarkEnd w:id="348"/>
    </w:p>
    <w:p>
      <w:pPr>
        <w:ind w:firstLine="640" w:firstLineChars="200"/>
        <w:rPr>
          <w:rFonts w:hint="eastAsia" w:ascii="??_GB2312" w:eastAsia="Times New Roman"/>
          <w:color w:val="000000" w:themeColor="text1"/>
          <w:sz w:val="32"/>
          <w:szCs w:val="32"/>
          <w14:textFill>
            <w14:solidFill>
              <w14:schemeClr w14:val="tx1"/>
            </w14:solidFill>
          </w14:textFill>
        </w:rPr>
      </w:pPr>
      <w:bookmarkStart w:id="349" w:name="_Toc29929"/>
      <w:bookmarkStart w:id="350" w:name="_Toc29471"/>
      <w:bookmarkStart w:id="351" w:name="_Toc21036"/>
      <w:bookmarkStart w:id="352" w:name="_Toc18194"/>
      <w:bookmarkStart w:id="353" w:name="_Toc526"/>
      <w:bookmarkStart w:id="354" w:name="_Toc10696"/>
      <w:bookmarkStart w:id="355" w:name="_Toc7765"/>
      <w:r>
        <w:rPr>
          <w:rFonts w:hint="eastAsia" w:ascii="??_GB2312" w:eastAsia="Times New Roman"/>
          <w:color w:val="000000" w:themeColor="text1"/>
          <w:sz w:val="32"/>
          <w:szCs w:val="32"/>
          <w14:textFill>
            <w14:solidFill>
              <w14:schemeClr w14:val="tx1"/>
            </w14:solidFill>
          </w14:textFill>
        </w:rPr>
        <w:t>福建生源类推界定。</w:t>
      </w:r>
      <w:bookmarkEnd w:id="349"/>
      <w:bookmarkEnd w:id="350"/>
      <w:bookmarkEnd w:id="351"/>
      <w:bookmarkEnd w:id="352"/>
      <w:bookmarkEnd w:id="353"/>
      <w:bookmarkEnd w:id="354"/>
      <w:bookmarkEnd w:id="355"/>
    </w:p>
    <w:p>
      <w:pPr>
        <w:pStyle w:val="2"/>
        <w:rPr>
          <w:rFonts w:ascii="楷体" w:hAnsi="楷体" w:eastAsia="楷体" w:cs="楷体"/>
          <w:color w:val="000000" w:themeColor="text1"/>
          <w:sz w:val="32"/>
          <w:szCs w:val="32"/>
          <w14:textFill>
            <w14:solidFill>
              <w14:schemeClr w14:val="tx1"/>
            </w14:solidFill>
          </w14:textFill>
        </w:rPr>
      </w:pPr>
      <w:bookmarkStart w:id="356" w:name="_（六）港澳台人员"/>
      <w:r>
        <w:rPr>
          <w:rFonts w:hint="eastAsia" w:ascii="楷体" w:hAnsi="楷体" w:eastAsia="楷体" w:cs="楷体"/>
          <w:color w:val="000000" w:themeColor="text1"/>
          <w:sz w:val="32"/>
          <w:szCs w:val="32"/>
          <w14:textFill>
            <w14:solidFill>
              <w14:schemeClr w14:val="tx1"/>
            </w14:solidFill>
          </w14:textFill>
        </w:rPr>
        <w:t>（六）港澳台人员</w:t>
      </w:r>
      <w:bookmarkEnd w:id="312"/>
      <w:bookmarkEnd w:id="313"/>
      <w:bookmarkEnd w:id="322"/>
      <w:bookmarkEnd w:id="323"/>
      <w:bookmarkEnd w:id="324"/>
      <w:bookmarkEnd w:id="325"/>
      <w:bookmarkEnd w:id="326"/>
      <w:bookmarkEnd w:id="327"/>
    </w:p>
    <w:bookmarkEnd w:id="356"/>
    <w:p>
      <w:pPr>
        <w:ind w:firstLine="640" w:firstLineChars="200"/>
        <w:rPr>
          <w:rFonts w:hint="eastAsia" w:ascii="??_GB2312" w:eastAsia="Times New Roman"/>
          <w:color w:val="000000" w:themeColor="text1"/>
          <w:sz w:val="32"/>
          <w:szCs w:val="32"/>
          <w14:textFill>
            <w14:solidFill>
              <w14:schemeClr w14:val="tx1"/>
            </w14:solidFill>
          </w14:textFill>
        </w:rPr>
      </w:pPr>
      <w:r>
        <w:rPr>
          <w:rFonts w:hint="eastAsia" w:ascii="??_GB2312" w:eastAsia="Times New Roman"/>
          <w:color w:val="000000" w:themeColor="text1"/>
          <w:sz w:val="32"/>
          <w:szCs w:val="32"/>
          <w14:textFill>
            <w14:solidFill>
              <w14:schemeClr w14:val="tx1"/>
            </w14:solidFill>
          </w14:textFill>
        </w:rPr>
        <w:t>港澳台人员（不得持有外国籍）的招聘，按照国家、福建省和厦门市有关规定办理。</w:t>
      </w:r>
    </w:p>
    <w:p>
      <w:pPr>
        <w:pStyle w:val="2"/>
        <w:rPr>
          <w:rFonts w:ascii="楷体" w:hAnsi="楷体" w:eastAsia="楷体" w:cs="楷体"/>
          <w:color w:val="000000" w:themeColor="text1"/>
          <w:sz w:val="32"/>
          <w:szCs w:val="32"/>
          <w14:textFill>
            <w14:solidFill>
              <w14:schemeClr w14:val="tx1"/>
            </w14:solidFill>
          </w14:textFill>
        </w:rPr>
      </w:pPr>
      <w:bookmarkStart w:id="357" w:name="_Toc1416"/>
      <w:r>
        <w:rPr>
          <w:rFonts w:hint="eastAsia" w:ascii="楷体" w:hAnsi="楷体" w:eastAsia="楷体" w:cs="楷体"/>
          <w:color w:val="000000" w:themeColor="text1"/>
          <w:sz w:val="32"/>
          <w:szCs w:val="32"/>
          <w14:textFill>
            <w14:solidFill>
              <w14:schemeClr w14:val="tx1"/>
            </w14:solidFill>
          </w14:textFill>
        </w:rPr>
        <w:t>（七）技工院校毕业生</w:t>
      </w:r>
      <w:bookmarkEnd w:id="357"/>
    </w:p>
    <w:p>
      <w:pPr>
        <w:ind w:firstLine="640" w:firstLineChars="200"/>
        <w:rPr>
          <w:rFonts w:hint="eastAsia" w:ascii="??_GB2312" w:eastAsia="Times New Roman"/>
          <w:color w:val="000000" w:themeColor="text1"/>
          <w:sz w:val="32"/>
          <w:szCs w:val="32"/>
          <w14:textFill>
            <w14:solidFill>
              <w14:schemeClr w14:val="tx1"/>
            </w14:solidFill>
          </w14:textFill>
        </w:rPr>
      </w:pPr>
      <w:r>
        <w:rPr>
          <w:rFonts w:hint="eastAsia" w:ascii="??_GB2312" w:eastAsia="Times New Roman"/>
          <w:color w:val="000000" w:themeColor="text1"/>
          <w:sz w:val="32"/>
          <w:szCs w:val="32"/>
          <w14:textFill>
            <w14:solidFill>
              <w14:schemeClr w14:val="tx1"/>
            </w14:solidFill>
          </w14:textFill>
        </w:rPr>
        <w:t>技工院校全日制高级工班、预备技师（技师）班毕业，</w:t>
      </w:r>
    </w:p>
    <w:p>
      <w:pPr>
        <w:ind w:firstLine="640" w:firstLineChars="200"/>
        <w:rPr>
          <w:rFonts w:hint="eastAsia" w:ascii="??_GB2312" w:eastAsia="Times New Roman"/>
          <w:color w:val="000000" w:themeColor="text1"/>
          <w:sz w:val="32"/>
          <w:szCs w:val="32"/>
          <w14:textFill>
            <w14:solidFill>
              <w14:schemeClr w14:val="tx1"/>
            </w14:solidFill>
          </w14:textFill>
        </w:rPr>
      </w:pPr>
      <w:r>
        <w:rPr>
          <w:rFonts w:hint="eastAsia" w:ascii="??_GB2312" w:eastAsia="Times New Roman"/>
          <w:color w:val="000000" w:themeColor="text1"/>
          <w:sz w:val="32"/>
          <w:szCs w:val="32"/>
          <w14:textFill>
            <w14:solidFill>
              <w14:schemeClr w14:val="tx1"/>
            </w14:solidFill>
          </w14:textFill>
        </w:rPr>
        <w:t>且毕业时已取得相应高级工、预备技师（技师）职业技能等级证书的，经</w:t>
      </w:r>
      <w:r>
        <w:rPr>
          <w:rFonts w:hint="eastAsia" w:ascii="??_GB2312" w:eastAsia="Times New Roman"/>
          <w:color w:val="000000" w:themeColor="text1"/>
          <w:sz w:val="32"/>
          <w:szCs w:val="32"/>
          <w:lang w:eastAsia="zh-CN"/>
          <w14:textFill>
            <w14:solidFill>
              <w14:schemeClr w14:val="tx1"/>
            </w14:solidFill>
          </w14:textFill>
        </w:rPr>
        <w:t>招</w:t>
      </w:r>
      <w:r>
        <w:rPr>
          <w:rFonts w:hint="eastAsia" w:ascii="??_GB2312" w:eastAsia="Times New Roman"/>
          <w:color w:val="000000" w:themeColor="text1"/>
          <w:sz w:val="32"/>
          <w:szCs w:val="32"/>
          <w14:textFill>
            <w14:solidFill>
              <w14:schemeClr w14:val="tx1"/>
            </w14:solidFill>
          </w14:textFill>
        </w:rPr>
        <w:t>聘单位及主管部门同意，可分别视同大专、本科学历，报考我市市、区属事业单位招聘岗位。</w:t>
      </w:r>
    </w:p>
    <w:p>
      <w:pPr>
        <w:pStyle w:val="2"/>
        <w:rPr>
          <w:rFonts w:ascii="黑体" w:hAnsi="黑体" w:eastAsia="黑体" w:cs="黑体"/>
          <w:color w:val="000000" w:themeColor="text1"/>
          <w:sz w:val="32"/>
          <w:szCs w:val="32"/>
          <w14:textFill>
            <w14:solidFill>
              <w14:schemeClr w14:val="tx1"/>
            </w14:solidFill>
          </w14:textFill>
        </w:rPr>
      </w:pPr>
      <w:bookmarkStart w:id="358" w:name="_Toc29924"/>
      <w:bookmarkStart w:id="359" w:name="_Toc2460"/>
      <w:bookmarkStart w:id="360" w:name="_Toc2095"/>
      <w:bookmarkStart w:id="361" w:name="_Toc4655"/>
      <w:bookmarkStart w:id="362" w:name="_Toc31670"/>
      <w:bookmarkStart w:id="363" w:name="_Toc17496"/>
      <w:bookmarkStart w:id="364" w:name="_Toc16887"/>
      <w:r>
        <w:rPr>
          <w:rFonts w:hint="eastAsia" w:ascii="黑体" w:hAnsi="黑体" w:eastAsia="黑体" w:cs="黑体"/>
          <w:color w:val="000000" w:themeColor="text1"/>
          <w:sz w:val="32"/>
          <w:szCs w:val="32"/>
          <w14:textFill>
            <w14:solidFill>
              <w14:schemeClr w14:val="tx1"/>
            </w14:solidFill>
          </w14:textFill>
        </w:rPr>
        <w:t>十五、疫情防控要求</w:t>
      </w:r>
      <w:bookmarkEnd w:id="358"/>
      <w:bookmarkEnd w:id="359"/>
      <w:bookmarkEnd w:id="360"/>
      <w:bookmarkEnd w:id="361"/>
      <w:bookmarkEnd w:id="362"/>
      <w:bookmarkEnd w:id="363"/>
      <w:bookmarkEnd w:id="364"/>
    </w:p>
    <w:p>
      <w:pPr>
        <w:ind w:firstLine="640" w:firstLineChars="200"/>
        <w:rPr>
          <w:rFonts w:hint="eastAsia" w:ascii="??_GB2312" w:eastAsia="Times New Roman"/>
          <w:color w:val="000000" w:themeColor="text1"/>
          <w:sz w:val="32"/>
          <w:szCs w:val="32"/>
          <w14:textFill>
            <w14:solidFill>
              <w14:schemeClr w14:val="tx1"/>
            </w14:solidFill>
          </w14:textFill>
        </w:rPr>
      </w:pPr>
      <w:r>
        <w:rPr>
          <w:rFonts w:hint="eastAsia" w:ascii="??_GB2312" w:eastAsia="Times New Roman"/>
          <w:color w:val="000000" w:themeColor="text1"/>
          <w:sz w:val="32"/>
          <w:szCs w:val="32"/>
          <w14:textFill>
            <w14:solidFill>
              <w14:schemeClr w14:val="tx1"/>
            </w14:solidFill>
          </w14:textFill>
        </w:rPr>
        <w:t>本次招聘工作在组织实施全过程中，将按照新冠肺炎疫情防控有关要求，严格落实防疫措施，必要时如须对有关考试安排进行适当调整，将及时在招考系统中公告。考生应认真落实常态化疫情防控措施，自觉承担防疫责任，及时关注考前须知，配合做好安全承诺，确保顺利应考。凡隐瞒或谎报旅居史、接触史、健康状况等疫情防控重点信息，不配合工作人员进行防疫检测、询问、排查等造成严重后果的，取消其考试（聘用）资格，如有违法行为，将依法追究其法律责任。</w:t>
      </w:r>
    </w:p>
    <w:p>
      <w:pPr>
        <w:rPr>
          <w:rFonts w:ascii="??_GB2312"/>
          <w:color w:val="000000" w:themeColor="text1"/>
          <w:sz w:val="32"/>
          <w:szCs w:val="32"/>
          <w14:textFill>
            <w14:solidFill>
              <w14:schemeClr w14:val="tx1"/>
            </w14:solidFill>
          </w14:textFill>
        </w:rPr>
      </w:pPr>
    </w:p>
    <w:p>
      <w:pPr>
        <w:ind w:firstLine="640"/>
        <w:rPr>
          <w:rFonts w:hint="eastAsia" w:ascii="??_GB2312" w:eastAsia="Times New Roman"/>
          <w:color w:val="000000" w:themeColor="text1"/>
          <w:sz w:val="32"/>
          <w:szCs w:val="32"/>
          <w14:textFill>
            <w14:solidFill>
              <w14:schemeClr w14:val="tx1"/>
            </w14:solidFill>
          </w14:textFill>
        </w:rPr>
      </w:pPr>
      <w:r>
        <w:rPr>
          <w:rFonts w:hint="eastAsia" w:ascii="??_GB2312" w:eastAsia="Times New Roman"/>
          <w:color w:val="000000" w:themeColor="text1"/>
          <w:sz w:val="32"/>
          <w:szCs w:val="32"/>
          <w14:textFill>
            <w14:solidFill>
              <w14:schemeClr w14:val="tx1"/>
            </w14:solidFill>
          </w14:textFill>
        </w:rPr>
        <w:t>附件：《2021届高校毕业生报考承诺书》</w:t>
      </w:r>
    </w:p>
    <w:p>
      <w:pPr>
        <w:ind w:firstLine="640"/>
        <w:rPr>
          <w:rFonts w:hint="eastAsia" w:ascii="??_GB2312" w:eastAsia="Times New Roman"/>
          <w:color w:val="000000" w:themeColor="text1"/>
          <w:sz w:val="32"/>
          <w:szCs w:val="32"/>
          <w14:textFill>
            <w14:solidFill>
              <w14:schemeClr w14:val="tx1"/>
            </w14:solidFill>
          </w14:textFill>
        </w:rPr>
      </w:pPr>
    </w:p>
    <w:p>
      <w:pPr>
        <w:ind w:firstLine="640"/>
        <w:rPr>
          <w:rFonts w:hint="eastAsia" w:ascii="??_GB2312" w:eastAsia="Times New Roman"/>
          <w:color w:val="000000" w:themeColor="text1"/>
          <w:sz w:val="32"/>
          <w:szCs w:val="32"/>
          <w14:textFill>
            <w14:solidFill>
              <w14:schemeClr w14:val="tx1"/>
            </w14:solidFill>
          </w14:textFill>
        </w:rPr>
      </w:pPr>
    </w:p>
    <w:p>
      <w:pPr>
        <w:ind w:firstLine="640"/>
        <w:rPr>
          <w:rFonts w:hint="eastAsia" w:ascii="??_GB2312" w:eastAsia="Times New Roman"/>
          <w:color w:val="000000" w:themeColor="text1"/>
          <w:sz w:val="32"/>
          <w:szCs w:val="32"/>
          <w14:textFill>
            <w14:solidFill>
              <w14:schemeClr w14:val="tx1"/>
            </w14:solidFill>
          </w14:textFill>
        </w:rPr>
      </w:pPr>
    </w:p>
    <w:p>
      <w:pPr>
        <w:ind w:firstLine="640"/>
        <w:rPr>
          <w:rFonts w:hint="eastAsia" w:ascii="??_GB2312" w:eastAsia="Times New Roman"/>
          <w:color w:val="000000" w:themeColor="text1"/>
          <w:sz w:val="32"/>
          <w:szCs w:val="32"/>
          <w14:textFill>
            <w14:solidFill>
              <w14:schemeClr w14:val="tx1"/>
            </w14:solidFill>
          </w14:textFill>
        </w:rPr>
      </w:pPr>
    </w:p>
    <w:p>
      <w:pPr>
        <w:ind w:firstLine="640"/>
        <w:rPr>
          <w:rFonts w:hint="eastAsia" w:ascii="??_GB2312" w:eastAsia="Times New Roman"/>
          <w:color w:val="000000" w:themeColor="text1"/>
          <w:sz w:val="32"/>
          <w:szCs w:val="32"/>
          <w14:textFill>
            <w14:solidFill>
              <w14:schemeClr w14:val="tx1"/>
            </w14:solidFill>
          </w14:textFill>
        </w:rPr>
      </w:pPr>
    </w:p>
    <w:p>
      <w:pPr>
        <w:spacing w:beforeLines="50" w:line="560" w:lineRule="atLeast"/>
        <w:jc w:val="center"/>
        <w:rPr>
          <w:rFonts w:ascii="Arial" w:hAnsi="Arial" w:cs="Arial"/>
          <w:sz w:val="18"/>
          <w:szCs w:val="18"/>
        </w:rPr>
      </w:pPr>
      <w:r>
        <w:rPr>
          <w:rFonts w:ascii="宋体" w:hAnsi="宋体" w:cs="Arial"/>
          <w:bCs/>
          <w:sz w:val="36"/>
          <w:szCs w:val="36"/>
        </w:rPr>
        <w:t>2021</w:t>
      </w:r>
      <w:r>
        <w:rPr>
          <w:rFonts w:hint="eastAsia" w:ascii="Arial" w:hAnsi="Arial" w:cs="Arial"/>
          <w:bCs/>
          <w:sz w:val="36"/>
          <w:szCs w:val="36"/>
        </w:rPr>
        <w:t>届高校毕业生报考承诺书</w:t>
      </w:r>
    </w:p>
    <w:p>
      <w:pPr>
        <w:spacing w:line="360" w:lineRule="auto"/>
        <w:ind w:firstLine="150"/>
        <w:rPr>
          <w:rFonts w:ascii="仿宋" w:hAnsi="仿宋" w:eastAsia="仿宋" w:cs="Arial"/>
          <w:sz w:val="18"/>
          <w:szCs w:val="18"/>
        </w:rPr>
      </w:pPr>
      <w:r>
        <w:rPr>
          <w:rFonts w:ascii="宋体" w:cs="Arial"/>
          <w:sz w:val="30"/>
          <w:szCs w:val="30"/>
          <w:u w:val="single"/>
        </w:rPr>
        <w:t>    </w:t>
      </w:r>
      <w:r>
        <w:rPr>
          <w:rFonts w:ascii="宋体" w:hAnsi="宋体" w:cs="Arial"/>
          <w:sz w:val="30"/>
          <w:szCs w:val="30"/>
          <w:u w:val="single"/>
        </w:rPr>
        <w:t xml:space="preserve"> </w:t>
      </w:r>
      <w:r>
        <w:rPr>
          <w:rFonts w:ascii="宋体" w:cs="Arial"/>
          <w:sz w:val="30"/>
          <w:szCs w:val="30"/>
          <w:u w:val="single"/>
        </w:rPr>
        <w:t xml:space="preserve">                   </w:t>
      </w:r>
      <w:r>
        <w:rPr>
          <w:rFonts w:hint="eastAsia" w:ascii="仿宋" w:hAnsi="仿宋" w:eastAsia="仿宋" w:cs="Arial"/>
          <w:sz w:val="30"/>
          <w:szCs w:val="30"/>
        </w:rPr>
        <w:t>（报考单位名称）：</w:t>
      </w:r>
    </w:p>
    <w:p>
      <w:pPr>
        <w:spacing w:line="360" w:lineRule="auto"/>
        <w:ind w:firstLine="630"/>
        <w:rPr>
          <w:rFonts w:ascii="仿宋" w:hAnsi="仿宋" w:eastAsia="仿宋" w:cs="Arial"/>
          <w:sz w:val="30"/>
          <w:szCs w:val="30"/>
        </w:rPr>
      </w:pPr>
      <w:r>
        <w:rPr>
          <w:rFonts w:hint="eastAsia" w:ascii="仿宋" w:hAnsi="仿宋" w:eastAsia="仿宋" w:cs="Arial"/>
          <w:sz w:val="30"/>
          <w:szCs w:val="30"/>
        </w:rPr>
        <w:t>本人系全日制普通教育</w:t>
      </w:r>
      <w:r>
        <w:rPr>
          <w:rFonts w:ascii="仿宋" w:hAnsi="仿宋" w:eastAsia="仿宋" w:cs="Arial"/>
          <w:sz w:val="30"/>
          <w:szCs w:val="30"/>
        </w:rPr>
        <w:t>/</w:t>
      </w:r>
      <w:r>
        <w:rPr>
          <w:rFonts w:hint="eastAsia" w:ascii="仿宋" w:hAnsi="仿宋" w:eastAsia="仿宋" w:cs="Arial"/>
          <w:sz w:val="30"/>
          <w:szCs w:val="30"/>
        </w:rPr>
        <w:t>境外教育</w:t>
      </w:r>
      <w:r>
        <w:rPr>
          <w:rFonts w:ascii="仿宋" w:hAnsi="仿宋" w:eastAsia="仿宋" w:cs="Arial"/>
          <w:sz w:val="30"/>
          <w:szCs w:val="30"/>
        </w:rPr>
        <w:t>2021</w:t>
      </w:r>
      <w:r>
        <w:rPr>
          <w:rFonts w:hint="eastAsia" w:ascii="仿宋" w:hAnsi="仿宋" w:eastAsia="仿宋" w:cs="Arial"/>
          <w:sz w:val="30"/>
          <w:szCs w:val="30"/>
        </w:rPr>
        <w:t>届高校毕业生未取得学历（位）证书，现持学校签章的毕业生身份证明材料报考贵单位。</w:t>
      </w:r>
    </w:p>
    <w:p>
      <w:pPr>
        <w:spacing w:line="360" w:lineRule="auto"/>
        <w:ind w:firstLine="630"/>
        <w:rPr>
          <w:rFonts w:ascii="仿宋" w:hAnsi="仿宋" w:eastAsia="仿宋" w:cs="Arial"/>
          <w:sz w:val="30"/>
          <w:szCs w:val="30"/>
        </w:rPr>
      </w:pPr>
      <w:r>
        <w:rPr>
          <w:rFonts w:hint="eastAsia" w:ascii="仿宋" w:hAnsi="仿宋" w:eastAsia="仿宋" w:cs="Arial"/>
          <w:sz w:val="30"/>
          <w:szCs w:val="30"/>
        </w:rPr>
        <w:t>一、个人身份信息：姓名</w:t>
      </w:r>
      <w:r>
        <w:rPr>
          <w:rFonts w:ascii="宋体" w:cs="Arial"/>
          <w:sz w:val="30"/>
          <w:szCs w:val="30"/>
          <w:u w:val="single"/>
        </w:rPr>
        <w:t xml:space="preserve">          </w:t>
      </w:r>
      <w:r>
        <w:rPr>
          <w:rFonts w:hint="eastAsia" w:ascii="仿宋" w:hAnsi="仿宋" w:eastAsia="仿宋" w:cs="Arial"/>
          <w:sz w:val="30"/>
          <w:szCs w:val="30"/>
        </w:rPr>
        <w:t>性别</w:t>
      </w:r>
      <w:r>
        <w:rPr>
          <w:rFonts w:ascii="宋体" w:cs="Arial"/>
          <w:sz w:val="30"/>
          <w:szCs w:val="30"/>
          <w:u w:val="single"/>
        </w:rPr>
        <w:t xml:space="preserve">   </w:t>
      </w:r>
      <w:r>
        <w:rPr>
          <w:rFonts w:hint="eastAsia" w:ascii="仿宋" w:hAnsi="仿宋" w:eastAsia="仿宋" w:cs="Arial"/>
          <w:sz w:val="30"/>
          <w:szCs w:val="30"/>
        </w:rPr>
        <w:t>身份证号</w:t>
      </w:r>
      <w:r>
        <w:rPr>
          <w:rFonts w:ascii="宋体" w:cs="Arial"/>
          <w:sz w:val="30"/>
          <w:szCs w:val="30"/>
          <w:u w:val="single"/>
        </w:rPr>
        <w:t>      </w:t>
      </w:r>
      <w:r>
        <w:rPr>
          <w:rFonts w:ascii="宋体" w:hAnsi="宋体" w:cs="Arial"/>
          <w:sz w:val="30"/>
          <w:szCs w:val="30"/>
          <w:u w:val="single"/>
        </w:rPr>
        <w:t xml:space="preserve">        </w:t>
      </w:r>
    </w:p>
    <w:p>
      <w:pPr>
        <w:spacing w:line="360" w:lineRule="auto"/>
        <w:ind w:firstLine="30"/>
        <w:rPr>
          <w:rFonts w:ascii="仿宋" w:hAnsi="仿宋" w:eastAsia="仿宋" w:cs="Arial"/>
          <w:sz w:val="30"/>
          <w:szCs w:val="30"/>
        </w:rPr>
      </w:pPr>
      <w:r>
        <w:rPr>
          <w:rFonts w:hint="eastAsia" w:ascii="仿宋" w:hAnsi="仿宋" w:eastAsia="仿宋" w:cs="Arial"/>
          <w:sz w:val="30"/>
          <w:szCs w:val="30"/>
        </w:rPr>
        <w:t>就读院校及专业</w:t>
      </w:r>
      <w:r>
        <w:rPr>
          <w:rFonts w:ascii="宋体" w:cs="Arial"/>
          <w:sz w:val="30"/>
          <w:szCs w:val="30"/>
          <w:u w:val="single"/>
        </w:rPr>
        <w:t> </w:t>
      </w:r>
      <w:r>
        <w:rPr>
          <w:rFonts w:ascii="宋体" w:hAnsi="宋体" w:cs="Arial"/>
          <w:sz w:val="30"/>
          <w:szCs w:val="30"/>
          <w:u w:val="single"/>
        </w:rPr>
        <w:t xml:space="preserve">                   </w:t>
      </w:r>
      <w:r>
        <w:rPr>
          <w:rFonts w:ascii="宋体" w:cs="Arial"/>
          <w:sz w:val="30"/>
          <w:szCs w:val="30"/>
          <w:u w:val="single"/>
        </w:rPr>
        <w:t xml:space="preserve">       </w:t>
      </w:r>
      <w:r>
        <w:rPr>
          <w:rFonts w:hint="eastAsia" w:ascii="仿宋" w:hAnsi="仿宋" w:eastAsia="仿宋" w:cs="Arial"/>
          <w:sz w:val="30"/>
          <w:szCs w:val="30"/>
        </w:rPr>
        <w:t>，专业方向</w:t>
      </w:r>
      <w:r>
        <w:rPr>
          <w:rFonts w:ascii="宋体" w:cs="Arial"/>
          <w:sz w:val="30"/>
          <w:szCs w:val="30"/>
          <w:u w:val="single"/>
        </w:rPr>
        <w:t> </w:t>
      </w:r>
      <w:r>
        <w:rPr>
          <w:rFonts w:ascii="宋体" w:hAnsi="宋体" w:cs="Arial"/>
          <w:sz w:val="30"/>
          <w:szCs w:val="30"/>
          <w:u w:val="single"/>
        </w:rPr>
        <w:t xml:space="preserve">     </w:t>
      </w:r>
      <w:r>
        <w:rPr>
          <w:rFonts w:ascii="宋体" w:cs="Arial"/>
          <w:sz w:val="30"/>
          <w:szCs w:val="30"/>
          <w:u w:val="single"/>
        </w:rPr>
        <w:t xml:space="preserve">      </w:t>
      </w:r>
      <w:r>
        <w:rPr>
          <w:rFonts w:hint="eastAsia" w:ascii="仿宋" w:hAnsi="仿宋" w:eastAsia="仿宋" w:cs="Arial"/>
          <w:sz w:val="30"/>
          <w:szCs w:val="30"/>
        </w:rPr>
        <w:t>。</w:t>
      </w:r>
    </w:p>
    <w:p>
      <w:pPr>
        <w:spacing w:line="360" w:lineRule="auto"/>
        <w:ind w:firstLine="630"/>
        <w:rPr>
          <w:rFonts w:ascii="仿宋" w:hAnsi="仿宋" w:eastAsia="仿宋" w:cs="Arial"/>
          <w:sz w:val="30"/>
          <w:szCs w:val="30"/>
        </w:rPr>
      </w:pPr>
      <w:r>
        <w:rPr>
          <w:rFonts w:hint="eastAsia" w:ascii="仿宋" w:hAnsi="仿宋" w:eastAsia="仿宋" w:cs="Arial"/>
          <w:sz w:val="30"/>
          <w:szCs w:val="30"/>
        </w:rPr>
        <w:t>二、报考岗位代码：</w:t>
      </w:r>
      <w:r>
        <w:rPr>
          <w:rFonts w:ascii="宋体" w:cs="Arial"/>
          <w:sz w:val="30"/>
          <w:szCs w:val="30"/>
          <w:u w:val="single"/>
        </w:rPr>
        <w:t>  </w:t>
      </w:r>
      <w:r>
        <w:rPr>
          <w:rFonts w:ascii="宋体" w:hAnsi="宋体" w:cs="Arial"/>
          <w:sz w:val="30"/>
          <w:szCs w:val="30"/>
          <w:u w:val="single"/>
        </w:rPr>
        <w:t xml:space="preserve"> </w:t>
      </w:r>
      <w:r>
        <w:rPr>
          <w:rFonts w:ascii="宋体" w:cs="Arial"/>
          <w:sz w:val="30"/>
          <w:szCs w:val="30"/>
          <w:u w:val="single"/>
        </w:rPr>
        <w:t> </w:t>
      </w:r>
      <w:r>
        <w:rPr>
          <w:rFonts w:ascii="宋体" w:hAnsi="宋体" w:cs="Arial"/>
          <w:sz w:val="30"/>
          <w:szCs w:val="30"/>
          <w:u w:val="single"/>
        </w:rPr>
        <w:t xml:space="preserve">            </w:t>
      </w:r>
      <w:r>
        <w:rPr>
          <w:rFonts w:hint="eastAsia" w:ascii="仿宋" w:hAnsi="仿宋" w:eastAsia="仿宋" w:cs="Arial"/>
          <w:sz w:val="30"/>
          <w:szCs w:val="30"/>
        </w:rPr>
        <w:t>。</w:t>
      </w:r>
    </w:p>
    <w:p>
      <w:pPr>
        <w:spacing w:line="360" w:lineRule="auto"/>
        <w:ind w:firstLine="630"/>
        <w:rPr>
          <w:rFonts w:ascii="仿宋" w:hAnsi="仿宋" w:eastAsia="仿宋" w:cs="Arial"/>
          <w:sz w:val="30"/>
          <w:szCs w:val="30"/>
        </w:rPr>
      </w:pPr>
      <w:r>
        <w:rPr>
          <w:rFonts w:hint="eastAsia" w:ascii="仿宋" w:hAnsi="仿宋" w:eastAsia="仿宋" w:cs="Arial"/>
          <w:sz w:val="30"/>
          <w:szCs w:val="30"/>
        </w:rPr>
        <w:t>三、承诺内容：</w:t>
      </w:r>
    </w:p>
    <w:p>
      <w:pPr>
        <w:spacing w:line="360" w:lineRule="auto"/>
        <w:ind w:firstLine="630"/>
        <w:rPr>
          <w:rFonts w:ascii="仿宋" w:hAnsi="仿宋" w:eastAsia="仿宋" w:cs="Arial"/>
          <w:sz w:val="30"/>
          <w:szCs w:val="30"/>
        </w:rPr>
      </w:pPr>
      <w:r>
        <w:rPr>
          <w:rFonts w:hint="eastAsia" w:ascii="仿宋" w:hAnsi="仿宋" w:eastAsia="仿宋" w:cs="Arial"/>
          <w:sz w:val="30"/>
          <w:szCs w:val="30"/>
        </w:rPr>
        <w:t>本人系：</w:t>
      </w:r>
    </w:p>
    <w:p>
      <w:pPr>
        <w:spacing w:line="360" w:lineRule="auto"/>
        <w:ind w:firstLine="630"/>
        <w:rPr>
          <w:rFonts w:ascii="仿宋" w:hAnsi="仿宋" w:eastAsia="仿宋" w:cs="Arial"/>
          <w:sz w:val="30"/>
          <w:szCs w:val="30"/>
        </w:rPr>
      </w:pPr>
      <w:r>
        <w:rPr>
          <w:rFonts w:hint="eastAsia" w:ascii="仿宋" w:hAnsi="仿宋" w:eastAsia="仿宋" w:cs="Arial"/>
          <w:sz w:val="30"/>
          <w:szCs w:val="30"/>
        </w:rPr>
        <w:t>□</w:t>
      </w:r>
      <w:r>
        <w:rPr>
          <w:rFonts w:ascii="仿宋" w:hAnsi="仿宋" w:eastAsia="仿宋" w:cs="Arial"/>
          <w:sz w:val="30"/>
          <w:szCs w:val="30"/>
        </w:rPr>
        <w:t xml:space="preserve"> 1.</w:t>
      </w:r>
      <w:r>
        <w:rPr>
          <w:rFonts w:hint="eastAsia" w:ascii="仿宋" w:hAnsi="仿宋" w:eastAsia="仿宋" w:cs="Arial"/>
          <w:sz w:val="30"/>
          <w:szCs w:val="30"/>
        </w:rPr>
        <w:t>全日制普通教育</w:t>
      </w:r>
      <w:r>
        <w:rPr>
          <w:rFonts w:ascii="仿宋" w:hAnsi="仿宋" w:eastAsia="仿宋" w:cs="Arial"/>
          <w:sz w:val="30"/>
          <w:szCs w:val="30"/>
        </w:rPr>
        <w:t>2021</w:t>
      </w:r>
      <w:r>
        <w:rPr>
          <w:rFonts w:hint="eastAsia" w:ascii="仿宋" w:hAnsi="仿宋" w:eastAsia="仿宋" w:cs="Arial"/>
          <w:sz w:val="30"/>
          <w:szCs w:val="30"/>
        </w:rPr>
        <w:t>届本科学历毕业生，</w:t>
      </w:r>
      <w:r>
        <w:rPr>
          <w:rFonts w:hint="eastAsia" w:ascii="仿宋" w:hAnsi="仿宋" w:eastAsia="仿宋" w:cs="Arial"/>
          <w:color w:val="000000"/>
          <w:sz w:val="30"/>
          <w:szCs w:val="30"/>
        </w:rPr>
        <w:t>承诺</w:t>
      </w:r>
      <w:r>
        <w:rPr>
          <w:rFonts w:hint="eastAsia" w:ascii="仿宋" w:hAnsi="仿宋" w:eastAsia="仿宋" w:cs="Arial"/>
          <w:sz w:val="30"/>
          <w:szCs w:val="30"/>
        </w:rPr>
        <w:t>于</w:t>
      </w:r>
      <w:r>
        <w:rPr>
          <w:rFonts w:ascii="仿宋" w:hAnsi="仿宋" w:eastAsia="仿宋" w:cs="Arial"/>
          <w:sz w:val="30"/>
          <w:szCs w:val="30"/>
        </w:rPr>
        <w:t>2021</w:t>
      </w:r>
      <w:r>
        <w:rPr>
          <w:rFonts w:hint="eastAsia" w:ascii="仿宋" w:hAnsi="仿宋" w:eastAsia="仿宋" w:cs="Arial"/>
          <w:sz w:val="30"/>
          <w:szCs w:val="30"/>
        </w:rPr>
        <w:t>年</w:t>
      </w:r>
      <w:r>
        <w:rPr>
          <w:rFonts w:ascii="仿宋" w:hAnsi="仿宋" w:eastAsia="仿宋" w:cs="Arial"/>
          <w:sz w:val="30"/>
          <w:szCs w:val="30"/>
        </w:rPr>
        <w:t>9</w:t>
      </w:r>
      <w:r>
        <w:rPr>
          <w:rFonts w:hint="eastAsia" w:ascii="仿宋" w:hAnsi="仿宋" w:eastAsia="仿宋" w:cs="Arial"/>
          <w:sz w:val="30"/>
          <w:szCs w:val="30"/>
        </w:rPr>
        <w:t>月</w:t>
      </w:r>
      <w:r>
        <w:rPr>
          <w:rFonts w:ascii="仿宋" w:hAnsi="仿宋" w:eastAsia="仿宋" w:cs="Arial"/>
          <w:sz w:val="30"/>
          <w:szCs w:val="30"/>
        </w:rPr>
        <w:t>30</w:t>
      </w:r>
      <w:r>
        <w:rPr>
          <w:rFonts w:hint="eastAsia" w:ascii="仿宋" w:hAnsi="仿宋" w:eastAsia="仿宋" w:cs="Arial"/>
          <w:sz w:val="30"/>
          <w:szCs w:val="30"/>
        </w:rPr>
        <w:t>日前取得并提供学历（位）证书；</w:t>
      </w:r>
      <w:r>
        <w:rPr>
          <w:rFonts w:ascii="仿宋" w:hAnsi="仿宋" w:eastAsia="仿宋" w:cs="Arial"/>
          <w:sz w:val="30"/>
          <w:szCs w:val="30"/>
        </w:rPr>
        <w:t xml:space="preserve">       </w:t>
      </w:r>
    </w:p>
    <w:p>
      <w:pPr>
        <w:spacing w:line="360" w:lineRule="auto"/>
        <w:ind w:firstLine="630"/>
        <w:rPr>
          <w:rFonts w:ascii="仿宋" w:hAnsi="仿宋" w:eastAsia="仿宋" w:cs="Arial"/>
          <w:sz w:val="30"/>
          <w:szCs w:val="30"/>
        </w:rPr>
      </w:pPr>
      <w:r>
        <w:rPr>
          <w:rFonts w:hint="eastAsia" w:ascii="仿宋" w:hAnsi="仿宋" w:eastAsia="仿宋" w:cs="Arial"/>
          <w:sz w:val="30"/>
          <w:szCs w:val="30"/>
        </w:rPr>
        <w:t>□</w:t>
      </w:r>
      <w:r>
        <w:rPr>
          <w:rFonts w:ascii="仿宋" w:hAnsi="仿宋" w:eastAsia="仿宋" w:cs="Arial"/>
          <w:sz w:val="30"/>
          <w:szCs w:val="30"/>
        </w:rPr>
        <w:t xml:space="preserve"> 2.</w:t>
      </w:r>
      <w:r>
        <w:rPr>
          <w:rFonts w:hint="eastAsia" w:ascii="仿宋" w:hAnsi="仿宋" w:eastAsia="仿宋" w:cs="Arial"/>
          <w:sz w:val="30"/>
          <w:szCs w:val="30"/>
        </w:rPr>
        <w:t>全日制普通教育</w:t>
      </w:r>
      <w:r>
        <w:rPr>
          <w:rFonts w:ascii="仿宋" w:hAnsi="仿宋" w:eastAsia="仿宋" w:cs="Arial"/>
          <w:sz w:val="30"/>
          <w:szCs w:val="30"/>
        </w:rPr>
        <w:t>2021</w:t>
      </w:r>
      <w:r>
        <w:rPr>
          <w:rFonts w:hint="eastAsia" w:ascii="仿宋" w:hAnsi="仿宋" w:eastAsia="仿宋" w:cs="Arial"/>
          <w:sz w:val="30"/>
          <w:szCs w:val="30"/>
        </w:rPr>
        <w:t>届</w:t>
      </w:r>
      <w:r>
        <w:rPr>
          <w:rFonts w:hint="eastAsia" w:ascii="仿宋" w:hAnsi="仿宋" w:eastAsia="仿宋" w:cs="Arial"/>
          <w:color w:val="000000"/>
          <w:sz w:val="30"/>
          <w:szCs w:val="30"/>
        </w:rPr>
        <w:t>研究生</w:t>
      </w:r>
      <w:r>
        <w:rPr>
          <w:rFonts w:hint="eastAsia" w:ascii="仿宋" w:hAnsi="仿宋" w:eastAsia="仿宋" w:cs="Arial"/>
          <w:sz w:val="30"/>
          <w:szCs w:val="30"/>
        </w:rPr>
        <w:t>学历毕业生，</w:t>
      </w:r>
      <w:r>
        <w:rPr>
          <w:rFonts w:hint="eastAsia" w:ascii="仿宋" w:hAnsi="仿宋" w:eastAsia="仿宋" w:cs="Arial"/>
          <w:color w:val="000000"/>
          <w:sz w:val="30"/>
          <w:szCs w:val="30"/>
        </w:rPr>
        <w:t>承诺</w:t>
      </w:r>
      <w:r>
        <w:rPr>
          <w:rFonts w:hint="eastAsia" w:ascii="仿宋" w:hAnsi="仿宋" w:eastAsia="仿宋" w:cs="Arial"/>
          <w:sz w:val="30"/>
          <w:szCs w:val="30"/>
        </w:rPr>
        <w:t>于</w:t>
      </w:r>
      <w:r>
        <w:rPr>
          <w:rFonts w:ascii="仿宋" w:hAnsi="仿宋" w:eastAsia="仿宋" w:cs="Arial"/>
          <w:sz w:val="30"/>
          <w:szCs w:val="30"/>
        </w:rPr>
        <w:t>2021</w:t>
      </w:r>
      <w:r>
        <w:rPr>
          <w:rFonts w:hint="eastAsia" w:ascii="仿宋" w:hAnsi="仿宋" w:eastAsia="仿宋" w:cs="Arial"/>
          <w:sz w:val="30"/>
          <w:szCs w:val="30"/>
        </w:rPr>
        <w:t>年</w:t>
      </w:r>
      <w:r>
        <w:rPr>
          <w:rFonts w:ascii="仿宋" w:hAnsi="仿宋" w:eastAsia="仿宋" w:cs="Arial"/>
          <w:sz w:val="30"/>
          <w:szCs w:val="30"/>
        </w:rPr>
        <w:t>12</w:t>
      </w:r>
      <w:r>
        <w:rPr>
          <w:rFonts w:hint="eastAsia" w:ascii="仿宋" w:hAnsi="仿宋" w:eastAsia="仿宋" w:cs="Arial"/>
          <w:sz w:val="30"/>
          <w:szCs w:val="30"/>
        </w:rPr>
        <w:t>月</w:t>
      </w:r>
      <w:r>
        <w:rPr>
          <w:rFonts w:ascii="仿宋" w:hAnsi="仿宋" w:eastAsia="仿宋" w:cs="Arial"/>
          <w:sz w:val="30"/>
          <w:szCs w:val="30"/>
        </w:rPr>
        <w:t>31</w:t>
      </w:r>
      <w:r>
        <w:rPr>
          <w:rFonts w:hint="eastAsia" w:ascii="仿宋" w:hAnsi="仿宋" w:eastAsia="仿宋" w:cs="Arial"/>
          <w:sz w:val="30"/>
          <w:szCs w:val="30"/>
        </w:rPr>
        <w:t>日前取得并提供学历（位）证书。</w:t>
      </w:r>
    </w:p>
    <w:p>
      <w:pPr>
        <w:spacing w:line="360" w:lineRule="auto"/>
        <w:ind w:firstLine="630"/>
        <w:rPr>
          <w:rFonts w:ascii="仿宋" w:hAnsi="仿宋" w:eastAsia="仿宋" w:cs="Arial"/>
          <w:sz w:val="30"/>
          <w:szCs w:val="30"/>
        </w:rPr>
      </w:pPr>
      <w:r>
        <w:rPr>
          <w:rFonts w:hint="eastAsia" w:ascii="仿宋" w:hAnsi="仿宋" w:eastAsia="仿宋" w:cs="Arial"/>
          <w:sz w:val="30"/>
          <w:szCs w:val="30"/>
        </w:rPr>
        <w:t>□</w:t>
      </w:r>
      <w:r>
        <w:rPr>
          <w:rFonts w:ascii="仿宋" w:hAnsi="仿宋" w:eastAsia="仿宋" w:cs="Arial"/>
          <w:sz w:val="30"/>
          <w:szCs w:val="30"/>
        </w:rPr>
        <w:t xml:space="preserve"> 3.</w:t>
      </w:r>
      <w:r>
        <w:rPr>
          <w:rFonts w:hint="eastAsia" w:ascii="仿宋" w:hAnsi="仿宋" w:eastAsia="仿宋" w:cs="Arial"/>
          <w:sz w:val="30"/>
          <w:szCs w:val="30"/>
        </w:rPr>
        <w:t>境外教育</w:t>
      </w:r>
      <w:r>
        <w:rPr>
          <w:rFonts w:ascii="仿宋" w:hAnsi="仿宋" w:eastAsia="仿宋" w:cs="Arial"/>
          <w:sz w:val="30"/>
          <w:szCs w:val="30"/>
        </w:rPr>
        <w:t>2021</w:t>
      </w:r>
      <w:r>
        <w:rPr>
          <w:rFonts w:hint="eastAsia" w:ascii="仿宋" w:hAnsi="仿宋" w:eastAsia="仿宋" w:cs="Arial"/>
          <w:sz w:val="30"/>
          <w:szCs w:val="30"/>
        </w:rPr>
        <w:t>届</w:t>
      </w:r>
      <w:r>
        <w:rPr>
          <w:rFonts w:hint="eastAsia" w:ascii="仿宋" w:hAnsi="仿宋" w:eastAsia="仿宋" w:cs="Arial"/>
          <w:color w:val="000000"/>
          <w:sz w:val="30"/>
          <w:szCs w:val="30"/>
        </w:rPr>
        <w:t>毕业生</w:t>
      </w:r>
      <w:r>
        <w:rPr>
          <w:rFonts w:hint="eastAsia" w:ascii="仿宋" w:hAnsi="仿宋" w:eastAsia="仿宋" w:cs="Arial"/>
          <w:sz w:val="30"/>
          <w:szCs w:val="30"/>
        </w:rPr>
        <w:t>，</w:t>
      </w:r>
      <w:r>
        <w:rPr>
          <w:rFonts w:hint="eastAsia" w:ascii="仿宋" w:hAnsi="仿宋" w:eastAsia="仿宋" w:cs="Arial"/>
          <w:color w:val="000000"/>
          <w:sz w:val="30"/>
          <w:szCs w:val="30"/>
        </w:rPr>
        <w:t>承诺</w:t>
      </w:r>
      <w:r>
        <w:rPr>
          <w:rFonts w:hint="eastAsia" w:ascii="仿宋" w:hAnsi="仿宋" w:eastAsia="仿宋" w:cs="Arial"/>
          <w:sz w:val="30"/>
          <w:szCs w:val="30"/>
        </w:rPr>
        <w:t>于</w:t>
      </w:r>
      <w:r>
        <w:rPr>
          <w:rFonts w:ascii="仿宋" w:hAnsi="仿宋" w:eastAsia="仿宋" w:cs="Arial"/>
          <w:sz w:val="30"/>
          <w:szCs w:val="30"/>
        </w:rPr>
        <w:t>2021</w:t>
      </w:r>
      <w:r>
        <w:rPr>
          <w:rFonts w:hint="eastAsia" w:ascii="仿宋" w:hAnsi="仿宋" w:eastAsia="仿宋" w:cs="Arial"/>
          <w:sz w:val="30"/>
          <w:szCs w:val="30"/>
        </w:rPr>
        <w:t>年</w:t>
      </w:r>
      <w:r>
        <w:rPr>
          <w:rFonts w:ascii="仿宋" w:hAnsi="仿宋" w:eastAsia="仿宋" w:cs="Arial"/>
          <w:sz w:val="30"/>
          <w:szCs w:val="30"/>
        </w:rPr>
        <w:t>12</w:t>
      </w:r>
      <w:r>
        <w:rPr>
          <w:rFonts w:hint="eastAsia" w:ascii="仿宋" w:hAnsi="仿宋" w:eastAsia="仿宋" w:cs="Arial"/>
          <w:sz w:val="30"/>
          <w:szCs w:val="30"/>
        </w:rPr>
        <w:t>月</w:t>
      </w:r>
      <w:r>
        <w:rPr>
          <w:rFonts w:ascii="仿宋" w:hAnsi="仿宋" w:eastAsia="仿宋" w:cs="Arial"/>
          <w:sz w:val="30"/>
          <w:szCs w:val="30"/>
        </w:rPr>
        <w:t>31</w:t>
      </w:r>
      <w:r>
        <w:rPr>
          <w:rFonts w:hint="eastAsia" w:ascii="仿宋" w:hAnsi="仿宋" w:eastAsia="仿宋" w:cs="Arial"/>
          <w:sz w:val="30"/>
          <w:szCs w:val="30"/>
        </w:rPr>
        <w:t>日前取得并提供学历（位）证书。</w:t>
      </w:r>
    </w:p>
    <w:p>
      <w:pPr>
        <w:spacing w:line="360" w:lineRule="auto"/>
        <w:ind w:firstLine="630"/>
        <w:rPr>
          <w:rFonts w:ascii="仿宋" w:hAnsi="仿宋" w:eastAsia="仿宋" w:cs="Arial"/>
          <w:sz w:val="30"/>
          <w:szCs w:val="30"/>
        </w:rPr>
      </w:pPr>
      <w:r>
        <w:rPr>
          <w:rFonts w:hint="eastAsia" w:ascii="仿宋" w:hAnsi="仿宋" w:eastAsia="仿宋" w:cs="Arial"/>
          <w:sz w:val="30"/>
          <w:szCs w:val="30"/>
        </w:rPr>
        <w:t>如未能在上述承诺期限内，提交学历（位）证书或学历（位）证书注明的专业与岗位要求的专业不符而引发不予办理聘用手续等情形，本人自愿放弃</w:t>
      </w:r>
      <w:r>
        <w:rPr>
          <w:rFonts w:hint="eastAsia" w:ascii="仿宋" w:hAnsi="仿宋" w:eastAsia="仿宋" w:cs="Arial"/>
          <w:color w:val="000000"/>
          <w:sz w:val="30"/>
          <w:szCs w:val="30"/>
        </w:rPr>
        <w:t>本次考试聘用资格</w:t>
      </w:r>
      <w:r>
        <w:rPr>
          <w:rFonts w:hint="eastAsia" w:ascii="仿宋" w:hAnsi="仿宋" w:eastAsia="仿宋" w:cs="Arial"/>
          <w:sz w:val="30"/>
          <w:szCs w:val="30"/>
        </w:rPr>
        <w:t>。</w:t>
      </w:r>
    </w:p>
    <w:p>
      <w:pPr>
        <w:spacing w:line="360" w:lineRule="auto"/>
        <w:ind w:firstLine="4500" w:firstLineChars="1500"/>
        <w:rPr>
          <w:rFonts w:ascii="仿宋" w:hAnsi="仿宋" w:eastAsia="仿宋" w:cs="Arial"/>
          <w:sz w:val="30"/>
          <w:szCs w:val="30"/>
        </w:rPr>
      </w:pPr>
      <w:r>
        <w:rPr>
          <w:rFonts w:hint="eastAsia" w:ascii="仿宋" w:hAnsi="仿宋" w:eastAsia="仿宋" w:cs="Arial"/>
          <w:sz w:val="30"/>
          <w:szCs w:val="30"/>
        </w:rPr>
        <w:t>承诺人（签名）：</w:t>
      </w:r>
    </w:p>
    <w:p>
      <w:pPr>
        <w:spacing w:line="360" w:lineRule="auto"/>
        <w:ind w:firstLine="5550" w:firstLineChars="1850"/>
        <w:rPr>
          <w:rFonts w:hint="eastAsia" w:ascii="??_GB2312" w:eastAsia="Times New Roman"/>
          <w:color w:val="000000" w:themeColor="text1"/>
          <w:sz w:val="32"/>
          <w:szCs w:val="32"/>
          <w14:textFill>
            <w14:solidFill>
              <w14:schemeClr w14:val="tx1"/>
            </w14:solidFill>
          </w14:textFill>
        </w:rPr>
      </w:pPr>
      <w:r>
        <w:rPr>
          <w:rFonts w:ascii="仿宋" w:hAnsi="仿宋" w:eastAsia="仿宋" w:cs="Arial"/>
          <w:sz w:val="30"/>
          <w:szCs w:val="30"/>
        </w:rPr>
        <w:t>2021</w:t>
      </w:r>
      <w:r>
        <w:rPr>
          <w:rFonts w:hint="eastAsia" w:ascii="仿宋" w:hAnsi="仿宋" w:eastAsia="仿宋" w:cs="Arial"/>
          <w:sz w:val="30"/>
          <w:szCs w:val="30"/>
        </w:rPr>
        <w:t>年</w:t>
      </w:r>
      <w:r>
        <w:rPr>
          <w:rFonts w:ascii="仿宋" w:hAnsi="仿宋" w:eastAsia="仿宋" w:cs="Arial"/>
          <w:sz w:val="30"/>
          <w:szCs w:val="30"/>
        </w:rPr>
        <w:t xml:space="preserve">   </w:t>
      </w:r>
      <w:r>
        <w:rPr>
          <w:rFonts w:hint="eastAsia" w:ascii="仿宋" w:hAnsi="仿宋" w:eastAsia="仿宋" w:cs="Arial"/>
          <w:sz w:val="30"/>
          <w:szCs w:val="30"/>
        </w:rPr>
        <w:t>月</w:t>
      </w:r>
      <w:r>
        <w:rPr>
          <w:rFonts w:ascii="仿宋" w:hAnsi="仿宋" w:eastAsia="仿宋" w:cs="Arial"/>
          <w:sz w:val="30"/>
          <w:szCs w:val="30"/>
        </w:rPr>
        <w:t xml:space="preserve">   </w:t>
      </w:r>
      <w:r>
        <w:rPr>
          <w:rFonts w:hint="eastAsia" w:ascii="仿宋" w:hAnsi="仿宋" w:eastAsia="仿宋" w:cs="Arial"/>
          <w:sz w:val="30"/>
          <w:szCs w:val="30"/>
        </w:rPr>
        <w:t>日</w:t>
      </w:r>
      <w:bookmarkStart w:id="365" w:name="_GoBack"/>
      <w:bookmarkEnd w:id="365"/>
    </w:p>
    <w:sectPr>
      <w:footerReference r:id="rId4" w:type="default"/>
      <w:pgSz w:w="11906" w:h="16838"/>
      <w:pgMar w:top="1440" w:right="1800" w:bottom="1440" w:left="1800" w:header="851" w:footer="992" w:gutter="0"/>
      <w:pgNumType w:start="1"/>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
    <w:panose1 w:val="02010609060101010101"/>
    <w:charset w:val="86"/>
    <w:family w:val="modern"/>
    <w:pitch w:val="default"/>
    <w:sig w:usb0="800002BF" w:usb1="38CF7CFA" w:usb2="00000016" w:usb3="00000000" w:csb0="00040001" w:csb1="00000000"/>
  </w:font>
  <w:font w:name="??_GB2312">
    <w:altName w:val="Times New Roman"/>
    <w:panose1 w:val="00000000000000000000"/>
    <w:charset w:val="00"/>
    <w:family w:val="auto"/>
    <w:pitch w:val="default"/>
    <w:sig w:usb0="00000000" w:usb1="00000000" w:usb2="00000000" w:usb3="00000000" w:csb0="00000001"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205740" cy="1397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205740" cy="139700"/>
                      </a:xfrm>
                      <a:prstGeom prst="rect">
                        <a:avLst/>
                      </a:prstGeom>
                      <a:noFill/>
                      <a:ln>
                        <a:noFill/>
                      </a:ln>
                    </wps:spPr>
                    <wps:txbx>
                      <w:txbxContent>
                        <w:p>
                          <w:pPr>
                            <w:pStyle w:val="5"/>
                          </w:pPr>
                          <w:r>
                            <w:fldChar w:fldCharType="begin"/>
                          </w:r>
                          <w:r>
                            <w:instrText xml:space="preserve"> PAGE  \* MERGEFORMAT </w:instrText>
                          </w:r>
                          <w:r>
                            <w:fldChar w:fldCharType="separate"/>
                          </w:r>
                          <w:r>
                            <w:t>18</w:t>
                          </w:r>
                          <w:r>
                            <w:fldChar w:fldCharType="end"/>
                          </w:r>
                        </w:p>
                      </w:txbxContent>
                    </wps:txbx>
                    <wps:bodyPr lIns="0" tIns="0" rIns="0" bIns="0" upright="1">
                      <a:spAutoFit/>
                    </wps:bodyPr>
                  </wps:wsp>
                </a:graphicData>
              </a:graphic>
            </wp:anchor>
          </w:drawing>
        </mc:Choice>
        <mc:Fallback>
          <w:pict>
            <v:shape id="_x0000_s1026" o:spid="_x0000_s1026" o:spt="202" type="#_x0000_t202" style="position:absolute;left:0pt;margin-top:0pt;height:11pt;width:16.2pt;mso-position-horizontal:center;mso-position-horizontal-relative:margin;z-index:251659264;mso-width-relative:page;mso-height-relative:page;" filled="f" stroked="f" coordsize="21600,21600" o:gfxdata="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sQ/+QtIAAAADAQAADwAAAAAAAAABACAAAAAiAAAAZHJzL2Rvd25yZXYueG1s&#10;UEsBAhQAFAAAAAgAh07iQBtpE4fFAQAAiwMAAA4AAAAAAAAAAQAgAAAAIQEAAGRycy9lMm9Eb2Mu&#10;eG1sUEsFBgAAAAAGAAYAWQEAAFgFAAAAAA==&#10;">
              <v:fill on="f" focussize="0,0"/>
              <v:stroke on="f"/>
              <v:imagedata o:title=""/>
              <o:lock v:ext="edit" aspectratio="f"/>
              <v:textbox inset="0mm,0mm,0mm,0mm" style="mso-fit-shape-to-text:t;">
                <w:txbxContent>
                  <w:p>
                    <w:pPr>
                      <w:pStyle w:val="5"/>
                    </w:pPr>
                    <w:r>
                      <w:fldChar w:fldCharType="begin"/>
                    </w:r>
                    <w:r>
                      <w:instrText xml:space="preserve"> PAGE  \* MERGEFORMAT </w:instrText>
                    </w:r>
                    <w:r>
                      <w:fldChar w:fldCharType="separate"/>
                    </w:r>
                    <w:r>
                      <w:t>18</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3A16"/>
    <w:rsid w:val="00016772"/>
    <w:rsid w:val="00016CA4"/>
    <w:rsid w:val="0002071E"/>
    <w:rsid w:val="00027082"/>
    <w:rsid w:val="000303AD"/>
    <w:rsid w:val="0003041A"/>
    <w:rsid w:val="00042AC0"/>
    <w:rsid w:val="00050255"/>
    <w:rsid w:val="000622B6"/>
    <w:rsid w:val="00063A9C"/>
    <w:rsid w:val="00063AD5"/>
    <w:rsid w:val="00065CC8"/>
    <w:rsid w:val="00071CAD"/>
    <w:rsid w:val="0008184C"/>
    <w:rsid w:val="00093BC6"/>
    <w:rsid w:val="000955E7"/>
    <w:rsid w:val="0009674D"/>
    <w:rsid w:val="000A1B97"/>
    <w:rsid w:val="000A46C7"/>
    <w:rsid w:val="000B1950"/>
    <w:rsid w:val="000B7C44"/>
    <w:rsid w:val="000C1F4C"/>
    <w:rsid w:val="000C4C08"/>
    <w:rsid w:val="000D0986"/>
    <w:rsid w:val="000D726B"/>
    <w:rsid w:val="000E4363"/>
    <w:rsid w:val="000E50DB"/>
    <w:rsid w:val="000E59F3"/>
    <w:rsid w:val="000E64EA"/>
    <w:rsid w:val="000F528C"/>
    <w:rsid w:val="001005D9"/>
    <w:rsid w:val="00103DB7"/>
    <w:rsid w:val="001234FA"/>
    <w:rsid w:val="00124B0A"/>
    <w:rsid w:val="001272BE"/>
    <w:rsid w:val="001329AD"/>
    <w:rsid w:val="0013424A"/>
    <w:rsid w:val="00137BC5"/>
    <w:rsid w:val="00137D47"/>
    <w:rsid w:val="0014786A"/>
    <w:rsid w:val="001618A2"/>
    <w:rsid w:val="0016662B"/>
    <w:rsid w:val="00170E5A"/>
    <w:rsid w:val="0017342D"/>
    <w:rsid w:val="00175E5B"/>
    <w:rsid w:val="001819C6"/>
    <w:rsid w:val="0019120A"/>
    <w:rsid w:val="001A0706"/>
    <w:rsid w:val="001A6BBD"/>
    <w:rsid w:val="001A70DD"/>
    <w:rsid w:val="001B1D72"/>
    <w:rsid w:val="001B21A8"/>
    <w:rsid w:val="001B25C1"/>
    <w:rsid w:val="001B2FA4"/>
    <w:rsid w:val="001B680E"/>
    <w:rsid w:val="001B7D37"/>
    <w:rsid w:val="001D0820"/>
    <w:rsid w:val="001D4711"/>
    <w:rsid w:val="001E476C"/>
    <w:rsid w:val="001E6A5C"/>
    <w:rsid w:val="001F0653"/>
    <w:rsid w:val="001F0ED6"/>
    <w:rsid w:val="001F475F"/>
    <w:rsid w:val="001F7E2F"/>
    <w:rsid w:val="002061CD"/>
    <w:rsid w:val="0021215B"/>
    <w:rsid w:val="00213A6B"/>
    <w:rsid w:val="002245C5"/>
    <w:rsid w:val="00224E77"/>
    <w:rsid w:val="00231266"/>
    <w:rsid w:val="0023228B"/>
    <w:rsid w:val="00233B29"/>
    <w:rsid w:val="00235D5E"/>
    <w:rsid w:val="00235F2C"/>
    <w:rsid w:val="002666AA"/>
    <w:rsid w:val="0027223D"/>
    <w:rsid w:val="00282296"/>
    <w:rsid w:val="00283BE4"/>
    <w:rsid w:val="00283FFF"/>
    <w:rsid w:val="00290979"/>
    <w:rsid w:val="002922E9"/>
    <w:rsid w:val="002A3AE8"/>
    <w:rsid w:val="002A65E8"/>
    <w:rsid w:val="002B3A73"/>
    <w:rsid w:val="002B446A"/>
    <w:rsid w:val="002B5890"/>
    <w:rsid w:val="002C42C2"/>
    <w:rsid w:val="002C4507"/>
    <w:rsid w:val="002D0BA2"/>
    <w:rsid w:val="002D5793"/>
    <w:rsid w:val="002E072C"/>
    <w:rsid w:val="002E0CAD"/>
    <w:rsid w:val="002F1B7F"/>
    <w:rsid w:val="0030076C"/>
    <w:rsid w:val="00300F25"/>
    <w:rsid w:val="0030204A"/>
    <w:rsid w:val="0030661F"/>
    <w:rsid w:val="003067E5"/>
    <w:rsid w:val="00310D70"/>
    <w:rsid w:val="003154A1"/>
    <w:rsid w:val="00315EE3"/>
    <w:rsid w:val="00327AF8"/>
    <w:rsid w:val="00330915"/>
    <w:rsid w:val="0033348E"/>
    <w:rsid w:val="00335F99"/>
    <w:rsid w:val="00336D36"/>
    <w:rsid w:val="00337286"/>
    <w:rsid w:val="003410BE"/>
    <w:rsid w:val="00343557"/>
    <w:rsid w:val="00353D5B"/>
    <w:rsid w:val="0035642C"/>
    <w:rsid w:val="00382AD6"/>
    <w:rsid w:val="0039564C"/>
    <w:rsid w:val="003A0F44"/>
    <w:rsid w:val="003B1C99"/>
    <w:rsid w:val="003C24A4"/>
    <w:rsid w:val="003C38B7"/>
    <w:rsid w:val="003E083C"/>
    <w:rsid w:val="003E1F4E"/>
    <w:rsid w:val="003E3FEE"/>
    <w:rsid w:val="003E7241"/>
    <w:rsid w:val="003F4E37"/>
    <w:rsid w:val="00401E7B"/>
    <w:rsid w:val="00413DE3"/>
    <w:rsid w:val="00414A3A"/>
    <w:rsid w:val="0042671C"/>
    <w:rsid w:val="00427938"/>
    <w:rsid w:val="00434959"/>
    <w:rsid w:val="00436F26"/>
    <w:rsid w:val="004451E7"/>
    <w:rsid w:val="004556E8"/>
    <w:rsid w:val="00467060"/>
    <w:rsid w:val="004725EB"/>
    <w:rsid w:val="004930B3"/>
    <w:rsid w:val="00493F32"/>
    <w:rsid w:val="004A1B92"/>
    <w:rsid w:val="004A369B"/>
    <w:rsid w:val="004C0B30"/>
    <w:rsid w:val="004C1BA5"/>
    <w:rsid w:val="004E0D05"/>
    <w:rsid w:val="004E4CB6"/>
    <w:rsid w:val="004F1C6B"/>
    <w:rsid w:val="004F453D"/>
    <w:rsid w:val="004F7CB5"/>
    <w:rsid w:val="005060AB"/>
    <w:rsid w:val="00523A3B"/>
    <w:rsid w:val="0053129A"/>
    <w:rsid w:val="005323BC"/>
    <w:rsid w:val="00534DE3"/>
    <w:rsid w:val="00537166"/>
    <w:rsid w:val="00550721"/>
    <w:rsid w:val="00553921"/>
    <w:rsid w:val="00554E53"/>
    <w:rsid w:val="00555717"/>
    <w:rsid w:val="005627F0"/>
    <w:rsid w:val="00577F93"/>
    <w:rsid w:val="00586E30"/>
    <w:rsid w:val="005A04F5"/>
    <w:rsid w:val="005A2DCB"/>
    <w:rsid w:val="005A6053"/>
    <w:rsid w:val="005A74F4"/>
    <w:rsid w:val="005B20DD"/>
    <w:rsid w:val="005C1AC0"/>
    <w:rsid w:val="005C2D15"/>
    <w:rsid w:val="005C58C0"/>
    <w:rsid w:val="005C5EA7"/>
    <w:rsid w:val="005E0B2B"/>
    <w:rsid w:val="005E13F1"/>
    <w:rsid w:val="005F26ED"/>
    <w:rsid w:val="005F39A2"/>
    <w:rsid w:val="005F55D0"/>
    <w:rsid w:val="00602A83"/>
    <w:rsid w:val="006104A2"/>
    <w:rsid w:val="00614E71"/>
    <w:rsid w:val="00622817"/>
    <w:rsid w:val="00627B01"/>
    <w:rsid w:val="00637407"/>
    <w:rsid w:val="00641707"/>
    <w:rsid w:val="006423AD"/>
    <w:rsid w:val="00642F47"/>
    <w:rsid w:val="00650CF0"/>
    <w:rsid w:val="006536A4"/>
    <w:rsid w:val="00654EF4"/>
    <w:rsid w:val="00663E4F"/>
    <w:rsid w:val="006709C9"/>
    <w:rsid w:val="00671238"/>
    <w:rsid w:val="006877A7"/>
    <w:rsid w:val="00694C60"/>
    <w:rsid w:val="0069608C"/>
    <w:rsid w:val="0069650D"/>
    <w:rsid w:val="006975EC"/>
    <w:rsid w:val="006B167B"/>
    <w:rsid w:val="006B711D"/>
    <w:rsid w:val="006C2BFF"/>
    <w:rsid w:val="006C38DE"/>
    <w:rsid w:val="006D288A"/>
    <w:rsid w:val="006D2E75"/>
    <w:rsid w:val="006D3CAA"/>
    <w:rsid w:val="006D78FD"/>
    <w:rsid w:val="006E13DC"/>
    <w:rsid w:val="006E5748"/>
    <w:rsid w:val="006E606D"/>
    <w:rsid w:val="006F2E02"/>
    <w:rsid w:val="006F6D93"/>
    <w:rsid w:val="00713012"/>
    <w:rsid w:val="00717277"/>
    <w:rsid w:val="007279A8"/>
    <w:rsid w:val="00731ED0"/>
    <w:rsid w:val="00735FD8"/>
    <w:rsid w:val="0074225C"/>
    <w:rsid w:val="00742F6D"/>
    <w:rsid w:val="00742F9D"/>
    <w:rsid w:val="00746682"/>
    <w:rsid w:val="00750347"/>
    <w:rsid w:val="00756AB6"/>
    <w:rsid w:val="00775CCD"/>
    <w:rsid w:val="00787915"/>
    <w:rsid w:val="00795003"/>
    <w:rsid w:val="007A6434"/>
    <w:rsid w:val="007B321F"/>
    <w:rsid w:val="007C5614"/>
    <w:rsid w:val="007C56BB"/>
    <w:rsid w:val="007E348E"/>
    <w:rsid w:val="007F441D"/>
    <w:rsid w:val="007F740D"/>
    <w:rsid w:val="00805C84"/>
    <w:rsid w:val="00806068"/>
    <w:rsid w:val="00815EFD"/>
    <w:rsid w:val="008178C4"/>
    <w:rsid w:val="00817E69"/>
    <w:rsid w:val="0082264D"/>
    <w:rsid w:val="008257EF"/>
    <w:rsid w:val="00853AC5"/>
    <w:rsid w:val="00861707"/>
    <w:rsid w:val="008639DB"/>
    <w:rsid w:val="00864FF6"/>
    <w:rsid w:val="008659FF"/>
    <w:rsid w:val="0086689B"/>
    <w:rsid w:val="008674C4"/>
    <w:rsid w:val="00867ECC"/>
    <w:rsid w:val="00872C06"/>
    <w:rsid w:val="0087540B"/>
    <w:rsid w:val="00876D3C"/>
    <w:rsid w:val="0089017A"/>
    <w:rsid w:val="008915E7"/>
    <w:rsid w:val="0089650B"/>
    <w:rsid w:val="0089701A"/>
    <w:rsid w:val="008B14FE"/>
    <w:rsid w:val="008B2436"/>
    <w:rsid w:val="008B292B"/>
    <w:rsid w:val="008B4025"/>
    <w:rsid w:val="008B6243"/>
    <w:rsid w:val="008B7E7C"/>
    <w:rsid w:val="008C03BA"/>
    <w:rsid w:val="008C0DBD"/>
    <w:rsid w:val="008C52FB"/>
    <w:rsid w:val="008D045F"/>
    <w:rsid w:val="008D2B6F"/>
    <w:rsid w:val="008D2C3C"/>
    <w:rsid w:val="008D4B31"/>
    <w:rsid w:val="008E7452"/>
    <w:rsid w:val="00902FD2"/>
    <w:rsid w:val="00903312"/>
    <w:rsid w:val="00906754"/>
    <w:rsid w:val="0091057D"/>
    <w:rsid w:val="00926AAF"/>
    <w:rsid w:val="00934682"/>
    <w:rsid w:val="009353D5"/>
    <w:rsid w:val="009366ED"/>
    <w:rsid w:val="00940433"/>
    <w:rsid w:val="00940519"/>
    <w:rsid w:val="00943C10"/>
    <w:rsid w:val="00952852"/>
    <w:rsid w:val="009605A9"/>
    <w:rsid w:val="00970312"/>
    <w:rsid w:val="00970FC4"/>
    <w:rsid w:val="00974948"/>
    <w:rsid w:val="00975EDA"/>
    <w:rsid w:val="00980406"/>
    <w:rsid w:val="00982F1B"/>
    <w:rsid w:val="00985932"/>
    <w:rsid w:val="009A10CC"/>
    <w:rsid w:val="009A15F7"/>
    <w:rsid w:val="009B4412"/>
    <w:rsid w:val="009B45B4"/>
    <w:rsid w:val="009C20CB"/>
    <w:rsid w:val="009D2E8C"/>
    <w:rsid w:val="009D4F90"/>
    <w:rsid w:val="009E0871"/>
    <w:rsid w:val="009E344F"/>
    <w:rsid w:val="009F62A6"/>
    <w:rsid w:val="00A030A7"/>
    <w:rsid w:val="00A0472F"/>
    <w:rsid w:val="00A04E27"/>
    <w:rsid w:val="00A16F10"/>
    <w:rsid w:val="00A23FC6"/>
    <w:rsid w:val="00A34A24"/>
    <w:rsid w:val="00A40E79"/>
    <w:rsid w:val="00A456DD"/>
    <w:rsid w:val="00A503ED"/>
    <w:rsid w:val="00A53F6A"/>
    <w:rsid w:val="00A55BED"/>
    <w:rsid w:val="00A60A7B"/>
    <w:rsid w:val="00A62CDC"/>
    <w:rsid w:val="00A6598A"/>
    <w:rsid w:val="00A74E13"/>
    <w:rsid w:val="00A7526C"/>
    <w:rsid w:val="00A75719"/>
    <w:rsid w:val="00A807E0"/>
    <w:rsid w:val="00A82BDF"/>
    <w:rsid w:val="00A8342F"/>
    <w:rsid w:val="00A83B27"/>
    <w:rsid w:val="00A849AB"/>
    <w:rsid w:val="00A904C7"/>
    <w:rsid w:val="00A948E8"/>
    <w:rsid w:val="00A95078"/>
    <w:rsid w:val="00AA2BC0"/>
    <w:rsid w:val="00AA508C"/>
    <w:rsid w:val="00AA7955"/>
    <w:rsid w:val="00AB512B"/>
    <w:rsid w:val="00AC486E"/>
    <w:rsid w:val="00AD7E74"/>
    <w:rsid w:val="00AE0A8E"/>
    <w:rsid w:val="00AF3FD2"/>
    <w:rsid w:val="00AF62CA"/>
    <w:rsid w:val="00B14C0D"/>
    <w:rsid w:val="00B176C3"/>
    <w:rsid w:val="00B223C6"/>
    <w:rsid w:val="00B231D4"/>
    <w:rsid w:val="00B502F3"/>
    <w:rsid w:val="00B50654"/>
    <w:rsid w:val="00B644A4"/>
    <w:rsid w:val="00B6747B"/>
    <w:rsid w:val="00B74B4C"/>
    <w:rsid w:val="00BB16AC"/>
    <w:rsid w:val="00BB6ABB"/>
    <w:rsid w:val="00BC413D"/>
    <w:rsid w:val="00BC7E11"/>
    <w:rsid w:val="00BD264D"/>
    <w:rsid w:val="00BD7C06"/>
    <w:rsid w:val="00BE2004"/>
    <w:rsid w:val="00C069A1"/>
    <w:rsid w:val="00C22EDB"/>
    <w:rsid w:val="00C23360"/>
    <w:rsid w:val="00C3022A"/>
    <w:rsid w:val="00C371C1"/>
    <w:rsid w:val="00C40A12"/>
    <w:rsid w:val="00C43459"/>
    <w:rsid w:val="00C44EB4"/>
    <w:rsid w:val="00C5287C"/>
    <w:rsid w:val="00C53061"/>
    <w:rsid w:val="00C538DD"/>
    <w:rsid w:val="00C54AE4"/>
    <w:rsid w:val="00C63698"/>
    <w:rsid w:val="00C66011"/>
    <w:rsid w:val="00C72E6A"/>
    <w:rsid w:val="00C7572D"/>
    <w:rsid w:val="00C7597B"/>
    <w:rsid w:val="00C77156"/>
    <w:rsid w:val="00C861C8"/>
    <w:rsid w:val="00C87125"/>
    <w:rsid w:val="00C91756"/>
    <w:rsid w:val="00C91F01"/>
    <w:rsid w:val="00C921A2"/>
    <w:rsid w:val="00CA052B"/>
    <w:rsid w:val="00CA2187"/>
    <w:rsid w:val="00CA3A16"/>
    <w:rsid w:val="00CB1D6F"/>
    <w:rsid w:val="00CB78C4"/>
    <w:rsid w:val="00CC2E07"/>
    <w:rsid w:val="00CC5C4E"/>
    <w:rsid w:val="00CC6A71"/>
    <w:rsid w:val="00CF04B7"/>
    <w:rsid w:val="00CF232A"/>
    <w:rsid w:val="00CF5221"/>
    <w:rsid w:val="00D0114A"/>
    <w:rsid w:val="00D02341"/>
    <w:rsid w:val="00D064E1"/>
    <w:rsid w:val="00D11027"/>
    <w:rsid w:val="00D11554"/>
    <w:rsid w:val="00D16E5E"/>
    <w:rsid w:val="00D27558"/>
    <w:rsid w:val="00D366EF"/>
    <w:rsid w:val="00D46DD0"/>
    <w:rsid w:val="00D5758B"/>
    <w:rsid w:val="00D61798"/>
    <w:rsid w:val="00D651C8"/>
    <w:rsid w:val="00D6585B"/>
    <w:rsid w:val="00D708EB"/>
    <w:rsid w:val="00D7234D"/>
    <w:rsid w:val="00D815E9"/>
    <w:rsid w:val="00D85A93"/>
    <w:rsid w:val="00D85B51"/>
    <w:rsid w:val="00D863BB"/>
    <w:rsid w:val="00D962CC"/>
    <w:rsid w:val="00DA675E"/>
    <w:rsid w:val="00DA679F"/>
    <w:rsid w:val="00DB7F97"/>
    <w:rsid w:val="00DC069D"/>
    <w:rsid w:val="00DC41C8"/>
    <w:rsid w:val="00DC425F"/>
    <w:rsid w:val="00DD269A"/>
    <w:rsid w:val="00DD315A"/>
    <w:rsid w:val="00DD3580"/>
    <w:rsid w:val="00DD67B2"/>
    <w:rsid w:val="00DD6E1D"/>
    <w:rsid w:val="00DD748C"/>
    <w:rsid w:val="00DE3751"/>
    <w:rsid w:val="00DE7D52"/>
    <w:rsid w:val="00DF0916"/>
    <w:rsid w:val="00DF1454"/>
    <w:rsid w:val="00DF4420"/>
    <w:rsid w:val="00DF52DA"/>
    <w:rsid w:val="00E02B07"/>
    <w:rsid w:val="00E1052D"/>
    <w:rsid w:val="00E27ADE"/>
    <w:rsid w:val="00E27B98"/>
    <w:rsid w:val="00E33D99"/>
    <w:rsid w:val="00E4528F"/>
    <w:rsid w:val="00E45A46"/>
    <w:rsid w:val="00E501FF"/>
    <w:rsid w:val="00E50D91"/>
    <w:rsid w:val="00E5277F"/>
    <w:rsid w:val="00E76900"/>
    <w:rsid w:val="00E91FC9"/>
    <w:rsid w:val="00E946B6"/>
    <w:rsid w:val="00E96E59"/>
    <w:rsid w:val="00E96FF2"/>
    <w:rsid w:val="00EA0912"/>
    <w:rsid w:val="00EA102B"/>
    <w:rsid w:val="00EA1106"/>
    <w:rsid w:val="00EA1CEA"/>
    <w:rsid w:val="00EB546B"/>
    <w:rsid w:val="00EB5BDF"/>
    <w:rsid w:val="00ED19A0"/>
    <w:rsid w:val="00ED66A9"/>
    <w:rsid w:val="00EE114C"/>
    <w:rsid w:val="00EE218F"/>
    <w:rsid w:val="00EE38D0"/>
    <w:rsid w:val="00EE421E"/>
    <w:rsid w:val="00EE59C4"/>
    <w:rsid w:val="00EF4FE6"/>
    <w:rsid w:val="00F00DFB"/>
    <w:rsid w:val="00F0732D"/>
    <w:rsid w:val="00F12569"/>
    <w:rsid w:val="00F2205F"/>
    <w:rsid w:val="00F225B5"/>
    <w:rsid w:val="00F2547D"/>
    <w:rsid w:val="00F25E9F"/>
    <w:rsid w:val="00F3275E"/>
    <w:rsid w:val="00F41D69"/>
    <w:rsid w:val="00F426D3"/>
    <w:rsid w:val="00F47381"/>
    <w:rsid w:val="00F51527"/>
    <w:rsid w:val="00F73179"/>
    <w:rsid w:val="00F81C85"/>
    <w:rsid w:val="00F94C76"/>
    <w:rsid w:val="00FA12EC"/>
    <w:rsid w:val="00FA70EB"/>
    <w:rsid w:val="00FB5F9B"/>
    <w:rsid w:val="00FB6C7F"/>
    <w:rsid w:val="00FC02B3"/>
    <w:rsid w:val="00FC6BAC"/>
    <w:rsid w:val="00FD5A91"/>
    <w:rsid w:val="00FF3B7D"/>
    <w:rsid w:val="00FF5BC8"/>
    <w:rsid w:val="01EF1657"/>
    <w:rsid w:val="023C1BF0"/>
    <w:rsid w:val="03EB15DD"/>
    <w:rsid w:val="04B431B1"/>
    <w:rsid w:val="060D0DBE"/>
    <w:rsid w:val="0A843D59"/>
    <w:rsid w:val="0AD53F20"/>
    <w:rsid w:val="0C42075F"/>
    <w:rsid w:val="0C9537CF"/>
    <w:rsid w:val="0D546F93"/>
    <w:rsid w:val="0EFC1000"/>
    <w:rsid w:val="11D50F5D"/>
    <w:rsid w:val="127C59E8"/>
    <w:rsid w:val="14A71C81"/>
    <w:rsid w:val="15714F96"/>
    <w:rsid w:val="17DB48A0"/>
    <w:rsid w:val="187327BD"/>
    <w:rsid w:val="18DC4FBF"/>
    <w:rsid w:val="1A1E49AB"/>
    <w:rsid w:val="1B6D54B7"/>
    <w:rsid w:val="1BD718D3"/>
    <w:rsid w:val="1C611A5A"/>
    <w:rsid w:val="20D11DC7"/>
    <w:rsid w:val="2107136B"/>
    <w:rsid w:val="21CD6AB5"/>
    <w:rsid w:val="225B71D0"/>
    <w:rsid w:val="226678D9"/>
    <w:rsid w:val="242714D3"/>
    <w:rsid w:val="248C709C"/>
    <w:rsid w:val="28654F9C"/>
    <w:rsid w:val="2AB93EDB"/>
    <w:rsid w:val="2D146264"/>
    <w:rsid w:val="2D3D3232"/>
    <w:rsid w:val="2D991E1E"/>
    <w:rsid w:val="311E304C"/>
    <w:rsid w:val="32B440F3"/>
    <w:rsid w:val="330F1FC1"/>
    <w:rsid w:val="34171B12"/>
    <w:rsid w:val="36265082"/>
    <w:rsid w:val="36433543"/>
    <w:rsid w:val="39F33EB2"/>
    <w:rsid w:val="3CA6751B"/>
    <w:rsid w:val="3CAA7142"/>
    <w:rsid w:val="3D5926B2"/>
    <w:rsid w:val="3E2B03B9"/>
    <w:rsid w:val="40983891"/>
    <w:rsid w:val="45830A4E"/>
    <w:rsid w:val="45C62D7A"/>
    <w:rsid w:val="47240519"/>
    <w:rsid w:val="480A64CC"/>
    <w:rsid w:val="486311F7"/>
    <w:rsid w:val="4A671659"/>
    <w:rsid w:val="4BE80A9E"/>
    <w:rsid w:val="4C102625"/>
    <w:rsid w:val="4D667BAF"/>
    <w:rsid w:val="4DA521E5"/>
    <w:rsid w:val="4DB86B62"/>
    <w:rsid w:val="4EC918D2"/>
    <w:rsid w:val="52AF3FC8"/>
    <w:rsid w:val="53564D9D"/>
    <w:rsid w:val="54EC7875"/>
    <w:rsid w:val="54FD31CF"/>
    <w:rsid w:val="576F2D86"/>
    <w:rsid w:val="591150F1"/>
    <w:rsid w:val="5A6B3694"/>
    <w:rsid w:val="5AAA10A0"/>
    <w:rsid w:val="5C976E58"/>
    <w:rsid w:val="61E23A6F"/>
    <w:rsid w:val="62412F49"/>
    <w:rsid w:val="624553E4"/>
    <w:rsid w:val="6276429E"/>
    <w:rsid w:val="62F4026E"/>
    <w:rsid w:val="65561D37"/>
    <w:rsid w:val="67306069"/>
    <w:rsid w:val="67587B68"/>
    <w:rsid w:val="6ABB6D6B"/>
    <w:rsid w:val="6AF56335"/>
    <w:rsid w:val="6B8A782C"/>
    <w:rsid w:val="6BE172C8"/>
    <w:rsid w:val="6CE41F3D"/>
    <w:rsid w:val="6D595D11"/>
    <w:rsid w:val="6D6F6871"/>
    <w:rsid w:val="6F395B3C"/>
    <w:rsid w:val="6F47575B"/>
    <w:rsid w:val="6F535ACE"/>
    <w:rsid w:val="6FE76DC4"/>
    <w:rsid w:val="705905D8"/>
    <w:rsid w:val="72931D35"/>
    <w:rsid w:val="73247101"/>
    <w:rsid w:val="74225F9B"/>
    <w:rsid w:val="746F7336"/>
    <w:rsid w:val="747852FC"/>
    <w:rsid w:val="77EC41DA"/>
    <w:rsid w:val="785B6B77"/>
    <w:rsid w:val="7A595755"/>
    <w:rsid w:val="7DEF5723"/>
    <w:rsid w:val="7E9C6B8D"/>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99" w:semiHidden="0" w:name="toc 1" w:locked="1"/>
    <w:lsdException w:qFormat="1" w:unhideWhenUsed="0" w:uiPriority="99"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qFormat="1" w:unhideWhenUsed="0" w:uiPriority="99" w:name="annotation text"/>
    <w:lsdException w:qFormat="1" w:unhideWhenUsed="0" w:uiPriority="99"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nhideWhenUsed="0"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nhideWhenUsed="0" w:uiPriority="99"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13"/>
    <w:qFormat/>
    <w:locked/>
    <w:uiPriority w:val="99"/>
    <w:pPr>
      <w:keepNext/>
      <w:keepLines/>
      <w:spacing w:line="576" w:lineRule="auto"/>
      <w:outlineLvl w:val="0"/>
    </w:pPr>
    <w:rPr>
      <w:b/>
      <w:kern w:val="44"/>
      <w:sz w:val="44"/>
    </w:rPr>
  </w:style>
  <w:style w:type="character" w:default="1" w:styleId="10">
    <w:name w:val="Default Paragraph Font"/>
    <w:semiHidden/>
    <w:qFormat/>
    <w:uiPriority w:val="99"/>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14"/>
    <w:semiHidden/>
    <w:qFormat/>
    <w:uiPriority w:val="99"/>
    <w:pPr>
      <w:jc w:val="left"/>
    </w:pPr>
  </w:style>
  <w:style w:type="paragraph" w:styleId="4">
    <w:name w:val="Balloon Text"/>
    <w:basedOn w:val="1"/>
    <w:link w:val="15"/>
    <w:semiHidden/>
    <w:qFormat/>
    <w:uiPriority w:val="99"/>
    <w:rPr>
      <w:sz w:val="18"/>
      <w:szCs w:val="18"/>
    </w:rPr>
  </w:style>
  <w:style w:type="paragraph" w:styleId="5">
    <w:name w:val="footer"/>
    <w:basedOn w:val="1"/>
    <w:link w:val="16"/>
    <w:qFormat/>
    <w:uiPriority w:val="99"/>
    <w:pPr>
      <w:tabs>
        <w:tab w:val="center" w:pos="4153"/>
        <w:tab w:val="right" w:pos="8306"/>
      </w:tabs>
      <w:snapToGrid w:val="0"/>
      <w:jc w:val="left"/>
    </w:pPr>
    <w:rPr>
      <w:sz w:val="18"/>
      <w:szCs w:val="18"/>
    </w:rPr>
  </w:style>
  <w:style w:type="paragraph" w:styleId="6">
    <w:name w:val="header"/>
    <w:basedOn w:val="1"/>
    <w:link w:val="17"/>
    <w:semiHidden/>
    <w:qFormat/>
    <w:uiPriority w:val="99"/>
    <w:pPr>
      <w:pBdr>
        <w:bottom w:val="single" w:color="auto" w:sz="6" w:space="1"/>
      </w:pBdr>
      <w:tabs>
        <w:tab w:val="center" w:pos="4153"/>
        <w:tab w:val="right" w:pos="8306"/>
      </w:tabs>
      <w:snapToGrid w:val="0"/>
      <w:jc w:val="center"/>
    </w:pPr>
    <w:rPr>
      <w:sz w:val="18"/>
      <w:szCs w:val="18"/>
    </w:rPr>
  </w:style>
  <w:style w:type="paragraph" w:styleId="7">
    <w:name w:val="toc 1"/>
    <w:basedOn w:val="1"/>
    <w:next w:val="1"/>
    <w:qFormat/>
    <w:locked/>
    <w:uiPriority w:val="99"/>
  </w:style>
  <w:style w:type="paragraph" w:styleId="8">
    <w:name w:val="toc 2"/>
    <w:basedOn w:val="1"/>
    <w:next w:val="1"/>
    <w:qFormat/>
    <w:locked/>
    <w:uiPriority w:val="99"/>
    <w:pPr>
      <w:ind w:left="420" w:leftChars="200"/>
    </w:pPr>
  </w:style>
  <w:style w:type="character" w:styleId="11">
    <w:name w:val="Hyperlink"/>
    <w:basedOn w:val="10"/>
    <w:qFormat/>
    <w:uiPriority w:val="99"/>
    <w:rPr>
      <w:rFonts w:cs="Times New Roman"/>
      <w:color w:val="0000FF"/>
      <w:u w:val="single"/>
    </w:rPr>
  </w:style>
  <w:style w:type="character" w:styleId="12">
    <w:name w:val="annotation reference"/>
    <w:basedOn w:val="10"/>
    <w:semiHidden/>
    <w:qFormat/>
    <w:uiPriority w:val="99"/>
    <w:rPr>
      <w:rFonts w:cs="Times New Roman"/>
      <w:sz w:val="21"/>
      <w:szCs w:val="21"/>
    </w:rPr>
  </w:style>
  <w:style w:type="character" w:customStyle="1" w:styleId="13">
    <w:name w:val="Heading 1 Char"/>
    <w:basedOn w:val="10"/>
    <w:link w:val="2"/>
    <w:qFormat/>
    <w:locked/>
    <w:uiPriority w:val="99"/>
    <w:rPr>
      <w:rFonts w:ascii="Calibri" w:hAnsi="Calibri" w:cs="Times New Roman"/>
      <w:b/>
      <w:bCs/>
      <w:kern w:val="44"/>
      <w:sz w:val="44"/>
      <w:szCs w:val="44"/>
    </w:rPr>
  </w:style>
  <w:style w:type="character" w:customStyle="1" w:styleId="14">
    <w:name w:val="Comment Text Char"/>
    <w:basedOn w:val="10"/>
    <w:link w:val="3"/>
    <w:semiHidden/>
    <w:qFormat/>
    <w:locked/>
    <w:uiPriority w:val="99"/>
    <w:rPr>
      <w:rFonts w:ascii="Calibri" w:hAnsi="Calibri" w:cs="Times New Roman"/>
    </w:rPr>
  </w:style>
  <w:style w:type="character" w:customStyle="1" w:styleId="15">
    <w:name w:val="Balloon Text Char"/>
    <w:basedOn w:val="10"/>
    <w:link w:val="4"/>
    <w:semiHidden/>
    <w:qFormat/>
    <w:locked/>
    <w:uiPriority w:val="99"/>
    <w:rPr>
      <w:rFonts w:ascii="Calibri" w:hAnsi="Calibri" w:cs="Times New Roman"/>
      <w:sz w:val="2"/>
    </w:rPr>
  </w:style>
  <w:style w:type="character" w:customStyle="1" w:styleId="16">
    <w:name w:val="Footer Char"/>
    <w:basedOn w:val="10"/>
    <w:link w:val="5"/>
    <w:qFormat/>
    <w:locked/>
    <w:uiPriority w:val="99"/>
    <w:rPr>
      <w:rFonts w:cs="Times New Roman"/>
      <w:sz w:val="18"/>
      <w:szCs w:val="18"/>
    </w:rPr>
  </w:style>
  <w:style w:type="character" w:customStyle="1" w:styleId="17">
    <w:name w:val="Header Char"/>
    <w:basedOn w:val="10"/>
    <w:link w:val="6"/>
    <w:semiHidden/>
    <w:qFormat/>
    <w:locked/>
    <w:uiPriority w:val="99"/>
    <w:rPr>
      <w:rFonts w:cs="Times New Roman"/>
      <w:sz w:val="18"/>
      <w:szCs w:val="18"/>
    </w:rPr>
  </w:style>
  <w:style w:type="paragraph" w:customStyle="1" w:styleId="18">
    <w:name w:val="WPSOffice手动目录 1"/>
    <w:qFormat/>
    <w:uiPriority w:val="99"/>
    <w:rPr>
      <w:rFonts w:ascii="Times New Roman" w:hAnsi="Times New Roman" w:eastAsia="宋体" w:cs="Times New Roman"/>
      <w:kern w:val="0"/>
      <w:sz w:val="20"/>
      <w:szCs w:val="20"/>
      <w:lang w:val="en-US" w:eastAsia="zh-CN" w:bidi="ar-SA"/>
    </w:rPr>
  </w:style>
  <w:style w:type="paragraph" w:customStyle="1" w:styleId="19">
    <w:name w:val="WPSOffice手动目录 2"/>
    <w:qFormat/>
    <w:uiPriority w:val="99"/>
    <w:pPr>
      <w:ind w:left="200" w:leftChars="200"/>
    </w:pPr>
    <w:rPr>
      <w:rFonts w:ascii="Times New Roman" w:hAnsi="Times New Roman" w:eastAsia="宋体" w:cs="Times New Roman"/>
      <w:kern w:val="0"/>
      <w:sz w:val="20"/>
      <w:szCs w:val="20"/>
      <w:lang w:val="en-US" w:eastAsia="zh-CN" w:bidi="ar-SA"/>
    </w:rPr>
  </w:style>
  <w:style w:type="paragraph" w:customStyle="1" w:styleId="20">
    <w:name w:val="WPSOffice手动目录 3"/>
    <w:qFormat/>
    <w:uiPriority w:val="99"/>
    <w:pPr>
      <w:ind w:left="400" w:leftChars="400"/>
    </w:pPr>
    <w:rPr>
      <w:rFonts w:ascii="Times New Roman" w:hAnsi="Times New Roman" w:eastAsia="宋体" w:cs="Times New Roman"/>
      <w:kern w:val="0"/>
      <w:sz w:val="20"/>
      <w:szCs w:val="20"/>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Normal_Wordconv.dotm</Template>
  <Company>Microsoft</Company>
  <Pages>23</Pages>
  <Words>1870</Words>
  <Characters>10664</Characters>
  <Lines>0</Lines>
  <Paragraphs>0</Paragraphs>
  <TotalTime>0</TotalTime>
  <ScaleCrop>false</ScaleCrop>
  <LinksUpToDate>false</LinksUpToDate>
  <CharactersWithSpaces>0</CharactersWithSpaces>
  <Application>WPS Office_11.1.0.10356_F1E327BC-269C-435d-A152-05C5408002CA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2021-04-07T04:42:00Z</dcterms:created>
  <dc:creator>dell</dc:creator>
  <cp:lastModifiedBy>DELL</cp:lastModifiedBy>
  <cp:lastPrinted>2021-04-08T13:06:00Z</cp:lastPrinted>
  <dcterms:modified xsi:type="dcterms:W3CDTF">2021-04-09T01:48:49Z</dcterms:modified>
  <dc:title>2019年秋季厦门市事业单位市、区联合招聘编内工作人员考试报考指南</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2052-11.1.0.10356</vt:lpwstr>
  </property>
  <property fmtid="{D5CDD505-2E9C-101B-9397-08002B2CF9AE}" pid="3" name="ICV">
    <vt:lpwstr>9DF3A4C525DF49B899F26B859B232FD2</vt:lpwstr>
  </property>
</Properties>
</file>